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73D4016D" w14:textId="7B5B2346" w:rsidR="005E4230" w:rsidRDefault="00DC4C91" w:rsidP="00AB11E7">
      <w:pPr>
        <w:pStyle w:val="ListParagraph"/>
        <w:numPr>
          <w:ilvl w:val="0"/>
          <w:numId w:val="1"/>
        </w:numPr>
        <w:spacing w:after="0"/>
      </w:pPr>
      <w:r>
        <w:t>Working group n</w:t>
      </w:r>
      <w:r w:rsidR="000B01A4" w:rsidRPr="003110FB">
        <w:t>ame:</w:t>
      </w:r>
    </w:p>
    <w:p w14:paraId="6D5E2A8F" w14:textId="77777777" w:rsidR="002F5BE6" w:rsidRDefault="002F5BE6" w:rsidP="002F5BE6">
      <w:pPr>
        <w:pStyle w:val="ListParagraph"/>
        <w:spacing w:after="0"/>
      </w:pPr>
    </w:p>
    <w:p w14:paraId="403A0A8A" w14:textId="72654184" w:rsidR="000B01A4" w:rsidRPr="005A73E4" w:rsidRDefault="0067592A" w:rsidP="00AB11E7">
      <w:pPr>
        <w:pStyle w:val="ListParagraph"/>
        <w:spacing w:after="0"/>
        <w:rPr>
          <w:i/>
          <w:color w:val="2E74B5" w:themeColor="accent1" w:themeShade="BF"/>
        </w:rPr>
      </w:pPr>
      <w:r w:rsidRPr="005A73E4">
        <w:rPr>
          <w:i/>
          <w:color w:val="2E74B5" w:themeColor="accent1" w:themeShade="BF"/>
        </w:rPr>
        <w:t>Cultivation</w:t>
      </w:r>
      <w:r w:rsidR="005E4230" w:rsidRPr="005A73E4">
        <w:rPr>
          <w:i/>
          <w:color w:val="2E74B5" w:themeColor="accent1" w:themeShade="BF"/>
        </w:rPr>
        <w:t xml:space="preserve"> Working Group</w:t>
      </w:r>
    </w:p>
    <w:p w14:paraId="318F665B" w14:textId="77777777" w:rsidR="00AB11E7" w:rsidRPr="00AB11E7" w:rsidRDefault="00AB11E7" w:rsidP="00AB11E7">
      <w:pPr>
        <w:pStyle w:val="ListParagraph"/>
        <w:spacing w:after="0"/>
        <w:rPr>
          <w:i/>
          <w:color w:val="0070C0"/>
        </w:rPr>
      </w:pPr>
    </w:p>
    <w:p w14:paraId="2DF7D040" w14:textId="32C396F4" w:rsidR="000B01A4" w:rsidRDefault="00DC4C91" w:rsidP="000B01A4">
      <w:pPr>
        <w:pStyle w:val="ListParagraph"/>
        <w:numPr>
          <w:ilvl w:val="0"/>
          <w:numId w:val="1"/>
        </w:numPr>
        <w:spacing w:after="0"/>
      </w:pPr>
      <w:r>
        <w:t>Individual s</w:t>
      </w:r>
      <w:r w:rsidR="007746E2" w:rsidRPr="003110FB">
        <w:t xml:space="preserve">ponsor(s): </w:t>
      </w:r>
    </w:p>
    <w:p w14:paraId="40F76157" w14:textId="77777777" w:rsidR="002F5BE6" w:rsidRDefault="002F5BE6" w:rsidP="005E4230">
      <w:pPr>
        <w:spacing w:after="0"/>
        <w:ind w:left="720"/>
        <w:rPr>
          <w:i/>
          <w:color w:val="2E74B5" w:themeColor="accent1" w:themeShade="BF"/>
        </w:rPr>
      </w:pPr>
    </w:p>
    <w:p w14:paraId="2D348460" w14:textId="77777777" w:rsidR="005E4230" w:rsidRPr="005A73E4" w:rsidRDefault="005E4230" w:rsidP="005E4230">
      <w:pPr>
        <w:spacing w:after="0"/>
        <w:ind w:left="720"/>
        <w:rPr>
          <w:i/>
          <w:color w:val="2E74B5" w:themeColor="accent1" w:themeShade="BF"/>
        </w:rPr>
      </w:pPr>
      <w:r w:rsidRPr="005A73E4">
        <w:rPr>
          <w:i/>
          <w:color w:val="2E74B5" w:themeColor="accent1" w:themeShade="BF"/>
        </w:rPr>
        <w:t>Lynn Hettrick – Division Administrator - Nevada Department of Agriculture</w:t>
      </w:r>
    </w:p>
    <w:p w14:paraId="7D5CC582" w14:textId="3CB92444" w:rsidR="005E4230" w:rsidRDefault="005E4230" w:rsidP="005E4230">
      <w:pPr>
        <w:spacing w:after="0"/>
        <w:ind w:left="720"/>
        <w:rPr>
          <w:i/>
          <w:color w:val="2E74B5" w:themeColor="accent1" w:themeShade="BF"/>
        </w:rPr>
      </w:pPr>
      <w:r w:rsidRPr="005A73E4">
        <w:rPr>
          <w:i/>
          <w:color w:val="2E74B5" w:themeColor="accent1" w:themeShade="BF"/>
        </w:rPr>
        <w:t xml:space="preserve">Tessa Rognier – Agriculturist III - Nevada Department of Agriculture </w:t>
      </w:r>
    </w:p>
    <w:p w14:paraId="1AC50B02" w14:textId="4C270944" w:rsidR="00C51AA1" w:rsidRDefault="00C51AA1" w:rsidP="00C51AA1">
      <w:pPr>
        <w:spacing w:after="0"/>
        <w:ind w:left="720"/>
        <w:rPr>
          <w:i/>
          <w:color w:val="2E74B5" w:themeColor="accent1" w:themeShade="BF"/>
        </w:rPr>
      </w:pPr>
      <w:r>
        <w:rPr>
          <w:i/>
          <w:color w:val="2E74B5" w:themeColor="accent1" w:themeShade="BF"/>
        </w:rPr>
        <w:t xml:space="preserve">Jason Strull, </w:t>
      </w:r>
      <w:r w:rsidR="00A40F7A">
        <w:rPr>
          <w:i/>
          <w:color w:val="2E74B5" w:themeColor="accent1" w:themeShade="BF"/>
        </w:rPr>
        <w:t>Lab Director,</w:t>
      </w:r>
      <w:r w:rsidRPr="00C51AA1">
        <w:rPr>
          <w:i/>
          <w:color w:val="2E74B5" w:themeColor="accent1" w:themeShade="BF"/>
        </w:rPr>
        <w:t xml:space="preserve"> 374 Labs</w:t>
      </w:r>
    </w:p>
    <w:p w14:paraId="28A7C5E0" w14:textId="45534D84" w:rsidR="00C51AA1" w:rsidRPr="005A73E4" w:rsidRDefault="00C51AA1" w:rsidP="005E4230">
      <w:pPr>
        <w:spacing w:after="0"/>
        <w:ind w:left="720"/>
        <w:rPr>
          <w:i/>
          <w:color w:val="2E74B5" w:themeColor="accent1" w:themeShade="BF"/>
        </w:rPr>
      </w:pPr>
      <w:r>
        <w:rPr>
          <w:i/>
          <w:color w:val="2E74B5" w:themeColor="accent1" w:themeShade="BF"/>
        </w:rPr>
        <w:t xml:space="preserve">Armen Yemenidjian, </w:t>
      </w:r>
      <w:r w:rsidR="00A936EC">
        <w:rPr>
          <w:i/>
          <w:color w:val="2E74B5" w:themeColor="accent1" w:themeShade="BF"/>
        </w:rPr>
        <w:t>Integral Associat</w:t>
      </w:r>
      <w:r w:rsidRPr="00C51AA1">
        <w:rPr>
          <w:i/>
          <w:color w:val="2E74B5" w:themeColor="accent1" w:themeShade="BF"/>
        </w:rPr>
        <w:t>es II</w:t>
      </w:r>
    </w:p>
    <w:p w14:paraId="16FCE777" w14:textId="77777777" w:rsidR="000B01A4" w:rsidRPr="003110FB" w:rsidRDefault="000B01A4" w:rsidP="000B01A4">
      <w:pPr>
        <w:spacing w:after="0"/>
      </w:pPr>
    </w:p>
    <w:p w14:paraId="25B12C42" w14:textId="31866780" w:rsidR="005E4230" w:rsidRDefault="00DC4C91" w:rsidP="005A73E4">
      <w:pPr>
        <w:pStyle w:val="ListParagraph"/>
        <w:numPr>
          <w:ilvl w:val="0"/>
          <w:numId w:val="1"/>
        </w:numPr>
        <w:spacing w:after="0"/>
      </w:pPr>
      <w:r>
        <w:t>Describe the r</w:t>
      </w:r>
      <w:r w:rsidR="000B01A4" w:rsidRPr="003110FB">
        <w:t>ecommendation:</w:t>
      </w:r>
      <w:r w:rsidR="0067592A">
        <w:t xml:space="preserve"> </w:t>
      </w:r>
    </w:p>
    <w:p w14:paraId="509395A0" w14:textId="77777777" w:rsidR="002F5BE6" w:rsidRDefault="002F5BE6" w:rsidP="002F5BE6">
      <w:pPr>
        <w:pStyle w:val="ListParagraph"/>
        <w:spacing w:after="0"/>
      </w:pPr>
    </w:p>
    <w:p w14:paraId="4A3730F6" w14:textId="52EC7B90" w:rsidR="00E9081E" w:rsidRPr="005A73E4" w:rsidRDefault="0067592A" w:rsidP="002F5BE6">
      <w:pPr>
        <w:ind w:left="720"/>
        <w:jc w:val="both"/>
        <w:rPr>
          <w:i/>
          <w:color w:val="2E74B5" w:themeColor="accent1" w:themeShade="BF"/>
        </w:rPr>
      </w:pPr>
      <w:r w:rsidRPr="005A73E4">
        <w:rPr>
          <w:i/>
          <w:color w:val="2E74B5" w:themeColor="accent1" w:themeShade="BF"/>
        </w:rPr>
        <w:t xml:space="preserve">The recommendation is to establish for </w:t>
      </w:r>
      <w:r w:rsidR="00777932" w:rsidRPr="005A73E4">
        <w:rPr>
          <w:i/>
          <w:color w:val="2E74B5" w:themeColor="accent1" w:themeShade="BF"/>
        </w:rPr>
        <w:t>compliance with Pesticide Worker Protection Standards</w:t>
      </w:r>
      <w:r w:rsidR="00462786" w:rsidRPr="005A73E4">
        <w:rPr>
          <w:i/>
          <w:color w:val="2E74B5" w:themeColor="accent1" w:themeShade="BF"/>
        </w:rPr>
        <w:t xml:space="preserve"> and </w:t>
      </w:r>
      <w:r w:rsidR="00196158" w:rsidRPr="005A73E4">
        <w:rPr>
          <w:i/>
          <w:color w:val="2E74B5" w:themeColor="accent1" w:themeShade="BF"/>
        </w:rPr>
        <w:t>Certification through Nevada Department of Agriculture (NDA) Pesticide Certification Program of at least one cultivation facility staff member in Commercial Greenhouse category for indoor cultivation and/or Commercial Agricultural Plant/Animal category for outdoor cultivation.</w:t>
      </w:r>
      <w:r w:rsidR="00E41DFB" w:rsidRPr="005A73E4">
        <w:rPr>
          <w:color w:val="2E74B5" w:themeColor="accent1" w:themeShade="BF"/>
        </w:rPr>
        <w:t xml:space="preserve">  </w:t>
      </w:r>
      <w:r w:rsidR="00E41DFB" w:rsidRPr="005A73E4">
        <w:rPr>
          <w:i/>
          <w:color w:val="2E74B5" w:themeColor="accent1" w:themeShade="BF"/>
        </w:rPr>
        <w:t>R</w:t>
      </w:r>
      <w:r w:rsidR="00EA782F" w:rsidRPr="005A73E4">
        <w:rPr>
          <w:i/>
          <w:color w:val="2E74B5" w:themeColor="accent1" w:themeShade="BF"/>
        </w:rPr>
        <w:t>andom and/or scheduled facility visits by NDA staff</w:t>
      </w:r>
      <w:r w:rsidR="00E41DFB" w:rsidRPr="005A73E4">
        <w:rPr>
          <w:i/>
          <w:color w:val="2E74B5" w:themeColor="accent1" w:themeShade="BF"/>
        </w:rPr>
        <w:t xml:space="preserve"> inspectors in conjunction with cultivation and pesticide consultations, </w:t>
      </w:r>
      <w:r w:rsidR="00EA782F" w:rsidRPr="005A73E4">
        <w:rPr>
          <w:i/>
          <w:color w:val="2E74B5" w:themeColor="accent1" w:themeShade="BF"/>
        </w:rPr>
        <w:t>quality assurance or for cause, such as a complaint.</w:t>
      </w:r>
      <w:r w:rsidR="00462786" w:rsidRPr="005A73E4">
        <w:rPr>
          <w:i/>
          <w:color w:val="2E74B5" w:themeColor="accent1" w:themeShade="BF"/>
        </w:rPr>
        <w:t xml:space="preserve">  </w:t>
      </w:r>
      <w:r w:rsidR="00311848" w:rsidRPr="005A73E4">
        <w:rPr>
          <w:i/>
          <w:color w:val="2E74B5" w:themeColor="accent1" w:themeShade="BF"/>
        </w:rPr>
        <w:t>These provisions are required by 40 CFR Part 170 Worker Protection Standard, and 40 CFR Part 150 to 180</w:t>
      </w:r>
      <w:r w:rsidR="00554796" w:rsidRPr="005A73E4">
        <w:rPr>
          <w:i/>
          <w:color w:val="2E74B5" w:themeColor="accent1" w:themeShade="BF"/>
        </w:rPr>
        <w:t xml:space="preserve"> Pesticide Programs</w:t>
      </w:r>
      <w:r w:rsidR="00311848" w:rsidRPr="005A73E4">
        <w:rPr>
          <w:i/>
          <w:color w:val="2E74B5" w:themeColor="accent1" w:themeShade="BF"/>
        </w:rPr>
        <w:t>.</w:t>
      </w: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84FE8DD" w14:textId="77777777" w:rsidR="005E4230" w:rsidRPr="005A73E4" w:rsidRDefault="005E4230" w:rsidP="005E4230">
      <w:pPr>
        <w:pStyle w:val="ListParagraph"/>
        <w:spacing w:after="0"/>
        <w:rPr>
          <w:color w:val="2E74B5" w:themeColor="accent1" w:themeShade="BF"/>
        </w:rPr>
      </w:pPr>
    </w:p>
    <w:p w14:paraId="2FFEFA58" w14:textId="31272A3F" w:rsidR="00E9081E" w:rsidRPr="005A73E4" w:rsidRDefault="005E4230" w:rsidP="005E4230">
      <w:pPr>
        <w:spacing w:after="0"/>
        <w:ind w:left="720"/>
        <w:jc w:val="both"/>
        <w:rPr>
          <w:i/>
          <w:color w:val="2E74B5" w:themeColor="accent1" w:themeShade="BF"/>
        </w:rPr>
      </w:pPr>
      <w:r w:rsidRPr="005A73E4">
        <w:rPr>
          <w:i/>
          <w:color w:val="2E74B5" w:themeColor="accent1" w:themeShade="BF"/>
        </w:rPr>
        <w:t xml:space="preserve">Guiding Principle </w:t>
      </w:r>
      <w:r w:rsidR="005043DB" w:rsidRPr="005A73E4">
        <w:rPr>
          <w:i/>
          <w:color w:val="2E74B5" w:themeColor="accent1" w:themeShade="BF"/>
        </w:rPr>
        <w:t>6</w:t>
      </w:r>
      <w:r w:rsidRPr="005A73E4">
        <w:rPr>
          <w:i/>
          <w:color w:val="2E74B5" w:themeColor="accent1" w:themeShade="BF"/>
        </w:rPr>
        <w:t xml:space="preserve"> </w:t>
      </w:r>
      <w:r w:rsidR="005043DB" w:rsidRPr="005A73E4">
        <w:rPr>
          <w:i/>
          <w:color w:val="2E74B5" w:themeColor="accent1" w:themeShade="BF"/>
        </w:rPr>
        <w:t>-</w:t>
      </w:r>
      <w:r w:rsidRPr="005A73E4">
        <w:rPr>
          <w:i/>
          <w:color w:val="2E74B5" w:themeColor="accent1" w:themeShade="BF"/>
        </w:rPr>
        <w:t xml:space="preserve"> </w:t>
      </w:r>
      <w:r w:rsidR="005043DB" w:rsidRPr="005A73E4">
        <w:rPr>
          <w:i/>
          <w:color w:val="2E74B5" w:themeColor="accent1" w:themeShade="BF"/>
        </w:rPr>
        <w:t>Establish regulations that are clear and practical, so that interactions between law enforcement, consumers, and licensees are predictable and understandable</w:t>
      </w:r>
    </w:p>
    <w:p w14:paraId="468C775F" w14:textId="77777777" w:rsidR="005E4230" w:rsidRPr="005E4230" w:rsidRDefault="005E4230" w:rsidP="005E4230">
      <w:pPr>
        <w:spacing w:after="0"/>
        <w:ind w:left="720"/>
        <w:jc w:val="both"/>
        <w:rPr>
          <w:i/>
          <w:color w:val="0070C0"/>
        </w:rPr>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7E9DC16B" w14:textId="77777777" w:rsidR="005E4230" w:rsidRPr="003110FB" w:rsidRDefault="005E4230" w:rsidP="005E4230">
      <w:pPr>
        <w:pStyle w:val="ListParagraph"/>
        <w:spacing w:after="0"/>
      </w:pPr>
    </w:p>
    <w:p w14:paraId="08968A22" w14:textId="1C778FC7" w:rsidR="00755B09" w:rsidRPr="002F5BE6" w:rsidRDefault="00755B09" w:rsidP="00755B09">
      <w:pPr>
        <w:pStyle w:val="ListParagraph"/>
        <w:spacing w:after="0"/>
        <w:jc w:val="both"/>
        <w:rPr>
          <w:i/>
          <w:color w:val="2E74B5" w:themeColor="accent1" w:themeShade="BF"/>
          <w:shd w:val="clear" w:color="auto" w:fill="FFFFFF"/>
        </w:rPr>
      </w:pPr>
      <w:r w:rsidRPr="002F5BE6">
        <w:rPr>
          <w:i/>
          <w:color w:val="2E74B5" w:themeColor="accent1" w:themeShade="BF"/>
        </w:rPr>
        <w:t>Section 13, Subsection 5:</w:t>
      </w:r>
      <w:r w:rsidR="005803ED" w:rsidRPr="002F5BE6">
        <w:rPr>
          <w:i/>
          <w:color w:val="2E74B5" w:themeColor="accent1" w:themeShade="BF"/>
        </w:rPr>
        <w:t xml:space="preserve"> </w:t>
      </w:r>
      <w:r w:rsidRPr="002F5BE6">
        <w:rPr>
          <w:color w:val="2E74B5" w:themeColor="accent1" w:themeShade="BF"/>
          <w:shd w:val="clear" w:color="auto" w:fill="FFFFFF"/>
        </w:rPr>
        <w:t> </w:t>
      </w:r>
      <w:r w:rsidRPr="002F5BE6">
        <w:rPr>
          <w:i/>
          <w:color w:val="2E74B5" w:themeColor="accent1" w:themeShade="BF"/>
          <w:shd w:val="clear" w:color="auto" w:fill="FFFFFF"/>
        </w:rPr>
        <w:t>A marijuana establishment is subject to reasonable inspection by the Department, and a person who holds a marijuana establishment license must make himself or herself, or an agent thereof, available and present for any inspection required by the Department. The Department shall make reasonable accommodations so that ordinary business is not interrupted and safety and security procedures are not compromised by the inspection.</w:t>
      </w:r>
    </w:p>
    <w:p w14:paraId="6EE4D826" w14:textId="77777777" w:rsidR="00755B09" w:rsidRDefault="00755B09" w:rsidP="00755B09">
      <w:pPr>
        <w:pStyle w:val="ListParagraph"/>
        <w:spacing w:after="0"/>
        <w:jc w:val="both"/>
      </w:pPr>
    </w:p>
    <w:p w14:paraId="527A1772" w14:textId="123DFB78" w:rsidR="007A4A8C" w:rsidRPr="00755B09" w:rsidRDefault="00E9081E" w:rsidP="00755B09">
      <w:pPr>
        <w:pStyle w:val="ListParagraph"/>
        <w:numPr>
          <w:ilvl w:val="0"/>
          <w:numId w:val="1"/>
        </w:numPr>
        <w:spacing w:after="0"/>
        <w:jc w:val="both"/>
        <w:rPr>
          <w:rFonts w:ascii="Helvetica" w:hAnsi="Helvetica"/>
          <w:color w:val="000000"/>
          <w:sz w:val="21"/>
          <w:szCs w:val="21"/>
          <w:shd w:val="clear" w:color="auto" w:fill="FFFFFF"/>
        </w:rPr>
      </w:pPr>
      <w:r w:rsidRPr="003110FB">
        <w:t>What issue(s) does the recommendation resolve?</w:t>
      </w:r>
    </w:p>
    <w:p w14:paraId="106BFA65" w14:textId="77777777" w:rsidR="005E4230" w:rsidRPr="003110FB" w:rsidRDefault="005E4230" w:rsidP="005E4230">
      <w:pPr>
        <w:pStyle w:val="ListParagraph"/>
        <w:spacing w:after="0"/>
      </w:pPr>
    </w:p>
    <w:p w14:paraId="5C6BCCA4" w14:textId="36CDF129" w:rsidR="001B0ADC" w:rsidRPr="005A73E4" w:rsidRDefault="002F5B96" w:rsidP="005E4230">
      <w:pPr>
        <w:spacing w:after="0"/>
        <w:ind w:left="720"/>
        <w:jc w:val="both"/>
        <w:rPr>
          <w:i/>
          <w:color w:val="2E74B5" w:themeColor="accent1" w:themeShade="BF"/>
        </w:rPr>
      </w:pPr>
      <w:r w:rsidRPr="005A73E4">
        <w:rPr>
          <w:i/>
          <w:color w:val="2E74B5" w:themeColor="accent1" w:themeShade="BF"/>
        </w:rPr>
        <w:t>To ensure safe use of pesticides in outdoor and indoor cultivation facilities, considered under Worker Protection Standards to be indoor/outdoor greenhouses and outdoor cultivation farm establishments.</w:t>
      </w:r>
    </w:p>
    <w:p w14:paraId="7ABEA5B8" w14:textId="77777777" w:rsidR="001B0ADC" w:rsidRPr="003110FB" w:rsidRDefault="001B0ADC" w:rsidP="001B0ADC">
      <w:pPr>
        <w:spacing w:after="0"/>
      </w:pPr>
    </w:p>
    <w:p w14:paraId="19719B95" w14:textId="77777777" w:rsidR="005E4230"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r w:rsidR="00F944B2">
        <w:t xml:space="preserve">  </w:t>
      </w:r>
    </w:p>
    <w:p w14:paraId="1833E1A3" w14:textId="77777777" w:rsidR="002F5BE6" w:rsidRDefault="002F5BE6" w:rsidP="002F5BE6">
      <w:pPr>
        <w:pStyle w:val="ListParagraph"/>
        <w:spacing w:after="0"/>
      </w:pPr>
    </w:p>
    <w:p w14:paraId="2A18D801" w14:textId="374975AB" w:rsidR="005E4230" w:rsidRPr="005A73E4" w:rsidRDefault="005A73E4" w:rsidP="005E4230">
      <w:pPr>
        <w:pStyle w:val="ListParagraph"/>
        <w:spacing w:after="0"/>
        <w:rPr>
          <w:i/>
          <w:color w:val="2E74B5" w:themeColor="accent1" w:themeShade="BF"/>
        </w:rPr>
      </w:pPr>
      <w:r>
        <w:rPr>
          <w:i/>
          <w:color w:val="2E74B5" w:themeColor="accent1" w:themeShade="BF"/>
        </w:rPr>
        <w:lastRenderedPageBreak/>
        <w:t>N</w:t>
      </w:r>
      <w:r w:rsidR="002F5BE6">
        <w:rPr>
          <w:i/>
          <w:color w:val="2E74B5" w:themeColor="accent1" w:themeShade="BF"/>
        </w:rPr>
        <w:t>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1963ECC1" w14:textId="77777777" w:rsidR="002F5BE6" w:rsidRDefault="002F5BE6" w:rsidP="002F5BE6">
      <w:pPr>
        <w:pStyle w:val="ListParagraph"/>
        <w:spacing w:after="0"/>
      </w:pPr>
    </w:p>
    <w:p w14:paraId="585DD1E8" w14:textId="37C52BA6" w:rsidR="005E4230" w:rsidRPr="005A73E4" w:rsidRDefault="00FF48FE" w:rsidP="00FF48FE">
      <w:pPr>
        <w:spacing w:after="0"/>
        <w:ind w:left="720"/>
        <w:rPr>
          <w:b/>
          <w:i/>
          <w:color w:val="2E74B5" w:themeColor="accent1" w:themeShade="BF"/>
        </w:rPr>
      </w:pPr>
      <w:r w:rsidRPr="005A73E4">
        <w:rPr>
          <w:b/>
          <w:i/>
          <w:color w:val="2E74B5" w:themeColor="accent1" w:themeShade="BF"/>
        </w:rPr>
        <w:t>Recommendation to add the follo</w:t>
      </w:r>
      <w:r w:rsidR="00462786" w:rsidRPr="005A73E4">
        <w:rPr>
          <w:b/>
          <w:i/>
          <w:color w:val="2E74B5" w:themeColor="accent1" w:themeShade="BF"/>
        </w:rPr>
        <w:t>wing into regulation for cannabis cultivation facilities</w:t>
      </w:r>
      <w:r w:rsidRPr="005A73E4">
        <w:rPr>
          <w:b/>
          <w:i/>
          <w:color w:val="2E74B5" w:themeColor="accent1" w:themeShade="BF"/>
        </w:rPr>
        <w:t>:</w:t>
      </w:r>
    </w:p>
    <w:p w14:paraId="17A20A5D" w14:textId="77777777" w:rsidR="00FF48FE" w:rsidRDefault="00FF48FE" w:rsidP="00FF48FE">
      <w:pPr>
        <w:spacing w:after="0"/>
        <w:ind w:left="720"/>
        <w:rPr>
          <w:i/>
          <w:color w:val="2E74B5" w:themeColor="accent1" w:themeShade="BF"/>
        </w:rPr>
      </w:pPr>
    </w:p>
    <w:p w14:paraId="11C7DC85" w14:textId="1E204DB5" w:rsidR="00FF48FE" w:rsidRPr="002E4AA4" w:rsidRDefault="00FF48FE" w:rsidP="002F5BE6">
      <w:pPr>
        <w:ind w:left="720"/>
        <w:jc w:val="both"/>
        <w:rPr>
          <w:i/>
          <w:color w:val="2E74B5" w:themeColor="accent1" w:themeShade="BF"/>
        </w:rPr>
      </w:pPr>
      <w:r w:rsidRPr="002E4AA4">
        <w:rPr>
          <w:i/>
          <w:color w:val="2E74B5" w:themeColor="accent1" w:themeShade="BF"/>
        </w:rPr>
        <w:t>Certification through Nevada Department of Agriculture (NDA) Pesticide Certification Program of at least one cultivation facility staff member in Commercial Greenhouse category for indoor cultivation and/or Commercial Agricultural Plant/Animal category for outdoor cultivation.</w:t>
      </w:r>
      <w:r w:rsidR="00462786" w:rsidRPr="002E4AA4">
        <w:rPr>
          <w:i/>
          <w:color w:val="2E74B5" w:themeColor="accent1" w:themeShade="BF"/>
        </w:rPr>
        <w:t xml:space="preserve">  This is an existing procedure for pesticide applicators.  The test typically takes less than one hour and costs $50.00.</w:t>
      </w:r>
    </w:p>
    <w:p w14:paraId="2C9A4AC6" w14:textId="0E8B56B1" w:rsidR="00FF48FE" w:rsidRPr="002E4AA4" w:rsidRDefault="00FF48FE" w:rsidP="002F5BE6">
      <w:pPr>
        <w:ind w:left="720"/>
        <w:jc w:val="both"/>
        <w:rPr>
          <w:i/>
          <w:color w:val="2E74B5" w:themeColor="accent1" w:themeShade="BF"/>
        </w:rPr>
      </w:pPr>
      <w:r w:rsidRPr="002E4AA4">
        <w:rPr>
          <w:i/>
          <w:color w:val="2E74B5" w:themeColor="accent1" w:themeShade="BF"/>
        </w:rPr>
        <w:t xml:space="preserve">Pesticide Education Consultation performed by Nevada Department of Agriculture inspectors with Cultivation Staff at initial Certification of Indoor/Outdoor </w:t>
      </w:r>
      <w:r w:rsidR="00462786" w:rsidRPr="002E4AA4">
        <w:rPr>
          <w:i/>
          <w:color w:val="2E74B5" w:themeColor="accent1" w:themeShade="BF"/>
        </w:rPr>
        <w:t>cannabis c</w:t>
      </w:r>
      <w:r w:rsidRPr="002E4AA4">
        <w:rPr>
          <w:i/>
          <w:color w:val="2E74B5" w:themeColor="accent1" w:themeShade="BF"/>
        </w:rPr>
        <w:t xml:space="preserve">ultivation </w:t>
      </w:r>
      <w:r w:rsidR="00462786" w:rsidRPr="002E4AA4">
        <w:rPr>
          <w:i/>
          <w:color w:val="2E74B5" w:themeColor="accent1" w:themeShade="BF"/>
        </w:rPr>
        <w:t>f</w:t>
      </w:r>
      <w:r w:rsidRPr="002E4AA4">
        <w:rPr>
          <w:i/>
          <w:color w:val="2E74B5" w:themeColor="accent1" w:themeShade="BF"/>
        </w:rPr>
        <w:t>acilities.</w:t>
      </w:r>
    </w:p>
    <w:p w14:paraId="36334A19" w14:textId="77777777" w:rsidR="00FF48FE" w:rsidRPr="002E4AA4" w:rsidRDefault="00FF48FE" w:rsidP="002F5BE6">
      <w:pPr>
        <w:ind w:left="720"/>
        <w:jc w:val="both"/>
        <w:rPr>
          <w:i/>
          <w:color w:val="2E74B5" w:themeColor="accent1" w:themeShade="BF"/>
        </w:rPr>
      </w:pPr>
      <w:r w:rsidRPr="002E4AA4">
        <w:rPr>
          <w:i/>
          <w:color w:val="2E74B5" w:themeColor="accent1" w:themeShade="BF"/>
        </w:rPr>
        <w:t>Submit to random and/or scheduled facility visits by NDA staff inspectors in conjunction with quality assurance or for cause, such as a complaint.</w:t>
      </w:r>
    </w:p>
    <w:p w14:paraId="266ED65D" w14:textId="052268AF" w:rsidR="00081DBE" w:rsidRPr="002E4AA4" w:rsidRDefault="00081DBE" w:rsidP="002F5BE6">
      <w:pPr>
        <w:ind w:firstLine="720"/>
        <w:jc w:val="both"/>
        <w:rPr>
          <w:i/>
          <w:color w:val="2E74B5" w:themeColor="accent1" w:themeShade="BF"/>
        </w:rPr>
      </w:pPr>
      <w:r w:rsidRPr="002E4AA4">
        <w:rPr>
          <w:i/>
          <w:color w:val="2E74B5" w:themeColor="accent1" w:themeShade="BF"/>
        </w:rPr>
        <w:t xml:space="preserve">Provide funding for the NDA to provide the services required by federal law.  </w:t>
      </w:r>
    </w:p>
    <w:p w14:paraId="5C7BBF2E" w14:textId="77777777" w:rsidR="002667A1" w:rsidRDefault="002667A1" w:rsidP="002667A1">
      <w:pPr>
        <w:pStyle w:val="NoSpacing"/>
        <w:rPr>
          <w:rFonts w:ascii="Calibri" w:hAnsi="Calibri" w:cs="Calibri"/>
          <w:color w:val="2E74B5" w:themeColor="accent1" w:themeShade="BF"/>
        </w:rPr>
      </w:pPr>
    </w:p>
    <w:p w14:paraId="554D1DAD" w14:textId="0A7851F0" w:rsidR="002F5BE6" w:rsidRDefault="004B6B56" w:rsidP="002667A1">
      <w:pPr>
        <w:pStyle w:val="NoSpacing"/>
        <w:ind w:firstLine="720"/>
        <w:rPr>
          <w:rFonts w:ascii="Calibri" w:hAnsi="Calibri" w:cs="Calibri"/>
          <w:b/>
          <w:i/>
          <w:color w:val="2E74B5" w:themeColor="accent1" w:themeShade="BF"/>
        </w:rPr>
      </w:pPr>
      <w:r w:rsidRPr="00F139B0">
        <w:rPr>
          <w:rFonts w:ascii="Calibri" w:hAnsi="Calibri" w:cs="Calibri"/>
          <w:b/>
          <w:i/>
          <w:color w:val="2E74B5" w:themeColor="accent1" w:themeShade="BF"/>
        </w:rPr>
        <w:t>Applicable NAC with suggested changes:</w:t>
      </w:r>
    </w:p>
    <w:p w14:paraId="44EC20BB" w14:textId="77777777" w:rsidR="002F5BE6" w:rsidRPr="00F139B0" w:rsidRDefault="002F5BE6" w:rsidP="002667A1">
      <w:pPr>
        <w:pStyle w:val="NoSpacing"/>
        <w:ind w:firstLine="720"/>
        <w:rPr>
          <w:rFonts w:ascii="Calibri" w:hAnsi="Calibri" w:cs="Calibri"/>
          <w:b/>
          <w:i/>
          <w:color w:val="2E74B5" w:themeColor="accent1" w:themeShade="BF"/>
        </w:rPr>
      </w:pPr>
    </w:p>
    <w:p w14:paraId="3FBAECEF" w14:textId="203DC6BD" w:rsidR="004B6B56" w:rsidRPr="00F139B0" w:rsidRDefault="004B6B56" w:rsidP="002667A1">
      <w:pPr>
        <w:pStyle w:val="nacbody"/>
        <w:spacing w:before="0" w:beforeAutospacing="0" w:after="0" w:afterAutospacing="0" w:line="240" w:lineRule="atLeast"/>
        <w:ind w:left="720"/>
        <w:jc w:val="both"/>
        <w:rPr>
          <w:rStyle w:val="apple-converted-space"/>
          <w:rFonts w:ascii="Calibri" w:hAnsi="Calibri" w:cs="Calibri"/>
          <w:i/>
          <w:color w:val="2E74B5" w:themeColor="accent1" w:themeShade="BF"/>
          <w:sz w:val="22"/>
          <w:szCs w:val="22"/>
        </w:rPr>
      </w:pPr>
      <w:r w:rsidRPr="00F139B0">
        <w:rPr>
          <w:rStyle w:val="nacsection"/>
          <w:rFonts w:ascii="Calibri" w:hAnsi="Calibri" w:cs="Calibri"/>
          <w:b/>
          <w:bCs/>
          <w:i/>
          <w:color w:val="2E74B5" w:themeColor="accent1" w:themeShade="BF"/>
          <w:sz w:val="22"/>
          <w:szCs w:val="22"/>
        </w:rPr>
        <w:t>NAC</w:t>
      </w:r>
      <w:r w:rsidRPr="00F139B0">
        <w:rPr>
          <w:rStyle w:val="nacsection"/>
          <w:rFonts w:ascii="Calibri" w:hAnsi="Calibri" w:cs="Calibri"/>
          <w:b/>
          <w:bCs/>
          <w:i/>
          <w:color w:val="2E74B5" w:themeColor="accent1" w:themeShade="BF"/>
          <w:sz w:val="22"/>
          <w:szCs w:val="22"/>
        </w:rPr>
        <w:t> </w:t>
      </w:r>
      <w:r w:rsidRPr="00F139B0">
        <w:rPr>
          <w:rStyle w:val="nacsection"/>
          <w:rFonts w:ascii="Calibri" w:hAnsi="Calibri" w:cs="Calibri"/>
          <w:b/>
          <w:bCs/>
          <w:i/>
          <w:color w:val="2E74B5" w:themeColor="accent1" w:themeShade="BF"/>
          <w:sz w:val="22"/>
          <w:szCs w:val="22"/>
        </w:rPr>
        <w:t>453A.306</w:t>
      </w:r>
      <w:r w:rsidRPr="00F139B0">
        <w:rPr>
          <w:rStyle w:val="empty"/>
          <w:rFonts w:ascii="Calibri" w:hAnsi="Calibri" w:cs="Calibri"/>
          <w:b/>
          <w:bCs/>
          <w:i/>
          <w:color w:val="2E74B5" w:themeColor="accent1" w:themeShade="BF"/>
          <w:sz w:val="22"/>
          <w:szCs w:val="22"/>
        </w:rPr>
        <w:t> </w:t>
      </w:r>
      <w:r w:rsidRPr="00F139B0">
        <w:rPr>
          <w:rStyle w:val="empty"/>
          <w:rFonts w:ascii="Calibri" w:hAnsi="Calibri" w:cs="Calibri"/>
          <w:b/>
          <w:bCs/>
          <w:i/>
          <w:color w:val="2E74B5" w:themeColor="accent1" w:themeShade="BF"/>
          <w:sz w:val="22"/>
          <w:szCs w:val="22"/>
        </w:rPr>
        <w:t> </w:t>
      </w:r>
      <w:r w:rsidRPr="00F139B0">
        <w:rPr>
          <w:rStyle w:val="naclead"/>
          <w:rFonts w:ascii="Calibri" w:hAnsi="Calibri" w:cs="Calibri"/>
          <w:b/>
          <w:bCs/>
          <w:i/>
          <w:color w:val="2E74B5" w:themeColor="accent1" w:themeShade="BF"/>
          <w:sz w:val="22"/>
          <w:szCs w:val="22"/>
        </w:rPr>
        <w:t>Applications to operate establishment: Required provisions.</w:t>
      </w:r>
      <w:r w:rsidRPr="00F139B0">
        <w:rPr>
          <w:rStyle w:val="apple-converted-space"/>
          <w:rFonts w:ascii="Calibri" w:hAnsi="Calibri" w:cs="Calibri"/>
          <w:b/>
          <w:bCs/>
          <w:i/>
          <w:color w:val="2E74B5" w:themeColor="accent1" w:themeShade="BF"/>
          <w:sz w:val="22"/>
          <w:szCs w:val="22"/>
        </w:rPr>
        <w:t> </w:t>
      </w:r>
      <w:r w:rsidRPr="00F139B0">
        <w:rPr>
          <w:rStyle w:val="nrsauthority"/>
          <w:rFonts w:ascii="Calibri" w:hAnsi="Calibri" w:cs="Calibri"/>
          <w:b/>
          <w:bCs/>
          <w:i/>
          <w:color w:val="2E74B5" w:themeColor="accent1" w:themeShade="BF"/>
          <w:sz w:val="22"/>
          <w:szCs w:val="22"/>
        </w:rPr>
        <w:t>(</w:t>
      </w:r>
      <w:hyperlink r:id="rId9" w:anchor="NRS453ASec322" w:history="1">
        <w:r w:rsidRPr="00F139B0">
          <w:rPr>
            <w:rStyle w:val="Hyperlink"/>
            <w:rFonts w:ascii="Calibri" w:hAnsi="Calibri" w:cs="Calibri"/>
            <w:i/>
            <w:color w:val="2E74B5" w:themeColor="accent1" w:themeShade="BF"/>
            <w:sz w:val="22"/>
            <w:szCs w:val="22"/>
          </w:rPr>
          <w:t>NRS 453A.322</w:t>
        </w:r>
      </w:hyperlink>
      <w:r w:rsidRPr="00F139B0">
        <w:rPr>
          <w:rStyle w:val="nrsauthority"/>
          <w:rFonts w:ascii="Calibri" w:hAnsi="Calibri" w:cs="Calibri"/>
          <w:b/>
          <w:bCs/>
          <w:i/>
          <w:color w:val="2E74B5" w:themeColor="accent1" w:themeShade="BF"/>
          <w:sz w:val="22"/>
          <w:szCs w:val="22"/>
        </w:rPr>
        <w:t>,</w:t>
      </w:r>
      <w:r w:rsidRPr="00F139B0">
        <w:rPr>
          <w:rStyle w:val="apple-converted-space"/>
          <w:rFonts w:ascii="Calibri" w:hAnsi="Calibri" w:cs="Calibri"/>
          <w:b/>
          <w:bCs/>
          <w:i/>
          <w:color w:val="2E74B5" w:themeColor="accent1" w:themeShade="BF"/>
          <w:sz w:val="22"/>
          <w:szCs w:val="22"/>
        </w:rPr>
        <w:t> </w:t>
      </w:r>
      <w:hyperlink r:id="rId10" w:anchor="NRS453ASec344" w:history="1">
        <w:r w:rsidRPr="00F139B0">
          <w:rPr>
            <w:rStyle w:val="Hyperlink"/>
            <w:rFonts w:ascii="Calibri" w:hAnsi="Calibri" w:cs="Calibri"/>
            <w:i/>
            <w:color w:val="2E74B5" w:themeColor="accent1" w:themeShade="BF"/>
            <w:sz w:val="22"/>
            <w:szCs w:val="22"/>
          </w:rPr>
          <w:t>453A.344</w:t>
        </w:r>
      </w:hyperlink>
      <w:r w:rsidRPr="00F139B0">
        <w:rPr>
          <w:rStyle w:val="nrsauthority"/>
          <w:rFonts w:ascii="Calibri" w:hAnsi="Calibri" w:cs="Calibri"/>
          <w:b/>
          <w:bCs/>
          <w:i/>
          <w:color w:val="2E74B5" w:themeColor="accent1" w:themeShade="BF"/>
          <w:sz w:val="22"/>
          <w:szCs w:val="22"/>
        </w:rPr>
        <w:t>,</w:t>
      </w:r>
      <w:r w:rsidRPr="00F139B0">
        <w:rPr>
          <w:rStyle w:val="apple-converted-space"/>
          <w:rFonts w:ascii="Calibri" w:hAnsi="Calibri" w:cs="Calibri"/>
          <w:b/>
          <w:bCs/>
          <w:i/>
          <w:color w:val="2E74B5" w:themeColor="accent1" w:themeShade="BF"/>
          <w:sz w:val="22"/>
          <w:szCs w:val="22"/>
        </w:rPr>
        <w:t> </w:t>
      </w:r>
      <w:hyperlink r:id="rId11" w:anchor="NRS453ASec370" w:history="1">
        <w:r w:rsidRPr="00F139B0">
          <w:rPr>
            <w:rStyle w:val="Hyperlink"/>
            <w:rFonts w:ascii="Calibri" w:hAnsi="Calibri" w:cs="Calibri"/>
            <w:i/>
            <w:color w:val="2E74B5" w:themeColor="accent1" w:themeShade="BF"/>
            <w:sz w:val="22"/>
            <w:szCs w:val="22"/>
          </w:rPr>
          <w:t>453A.370</w:t>
        </w:r>
      </w:hyperlink>
      <w:r w:rsidRPr="00F139B0">
        <w:rPr>
          <w:rStyle w:val="nrsauthority"/>
          <w:rFonts w:ascii="Calibri" w:hAnsi="Calibri" w:cs="Calibri"/>
          <w:b/>
          <w:bCs/>
          <w:i/>
          <w:color w:val="2E74B5" w:themeColor="accent1" w:themeShade="BF"/>
          <w:sz w:val="22"/>
          <w:szCs w:val="22"/>
        </w:rPr>
        <w:t>)</w:t>
      </w:r>
      <w:r w:rsidRPr="00F139B0">
        <w:rPr>
          <w:rStyle w:val="empty"/>
          <w:rFonts w:ascii="Calibri" w:hAnsi="Calibri" w:cs="Calibri"/>
          <w:b/>
          <w:bCs/>
          <w:i/>
          <w:color w:val="2E74B5" w:themeColor="accent1" w:themeShade="BF"/>
          <w:sz w:val="22"/>
          <w:szCs w:val="22"/>
        </w:rPr>
        <w:t> </w:t>
      </w:r>
      <w:r w:rsidRPr="00F139B0">
        <w:rPr>
          <w:rStyle w:val="empty"/>
          <w:rFonts w:ascii="Calibri" w:hAnsi="Calibri" w:cs="Calibri"/>
          <w:b/>
          <w:bCs/>
          <w:i/>
          <w:color w:val="2E74B5" w:themeColor="accent1" w:themeShade="BF"/>
          <w:sz w:val="22"/>
          <w:szCs w:val="22"/>
        </w:rPr>
        <w:t> </w:t>
      </w:r>
      <w:r w:rsidRPr="00F139B0">
        <w:rPr>
          <w:rFonts w:ascii="Calibri" w:hAnsi="Calibri" w:cs="Calibri"/>
          <w:i/>
          <w:color w:val="2E74B5" w:themeColor="accent1" w:themeShade="BF"/>
          <w:sz w:val="22"/>
          <w:szCs w:val="22"/>
        </w:rPr>
        <w:t>An application submitted in response to a request for applications issued pursuant to</w:t>
      </w:r>
      <w:r w:rsidRPr="00F139B0">
        <w:rPr>
          <w:rStyle w:val="apple-converted-space"/>
          <w:rFonts w:ascii="Calibri" w:hAnsi="Calibri" w:cs="Calibri"/>
          <w:i/>
          <w:color w:val="2E74B5" w:themeColor="accent1" w:themeShade="BF"/>
          <w:sz w:val="22"/>
          <w:szCs w:val="22"/>
        </w:rPr>
        <w:t> </w:t>
      </w:r>
      <w:hyperlink r:id="rId12" w:anchor="NAC453ASec304" w:history="1">
        <w:r w:rsidRPr="00F139B0">
          <w:rPr>
            <w:rStyle w:val="Hyperlink"/>
            <w:rFonts w:ascii="Calibri" w:hAnsi="Calibri" w:cs="Calibri"/>
            <w:i/>
            <w:color w:val="2E74B5" w:themeColor="accent1" w:themeShade="BF"/>
            <w:sz w:val="22"/>
            <w:szCs w:val="22"/>
          </w:rPr>
          <w:t>NAC 453A.304</w:t>
        </w:r>
      </w:hyperlink>
      <w:r w:rsidRPr="00F139B0">
        <w:rPr>
          <w:rStyle w:val="apple-converted-space"/>
          <w:rFonts w:ascii="Calibri" w:hAnsi="Calibri" w:cs="Calibri"/>
          <w:i/>
          <w:color w:val="2E74B5" w:themeColor="accent1" w:themeShade="BF"/>
          <w:sz w:val="22"/>
          <w:szCs w:val="22"/>
        </w:rPr>
        <w:t> </w:t>
      </w:r>
      <w:r w:rsidRPr="00F139B0">
        <w:rPr>
          <w:rFonts w:ascii="Calibri" w:hAnsi="Calibri" w:cs="Calibri"/>
          <w:i/>
          <w:color w:val="2E74B5" w:themeColor="accent1" w:themeShade="BF"/>
          <w:sz w:val="22"/>
          <w:szCs w:val="22"/>
        </w:rPr>
        <w:t>must include:</w:t>
      </w:r>
    </w:p>
    <w:p w14:paraId="012062D9" w14:textId="0281A76F"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b/>
          <w:i/>
          <w:color w:val="2E74B5" w:themeColor="accent1" w:themeShade="BF"/>
          <w:sz w:val="22"/>
          <w:szCs w:val="22"/>
        </w:rPr>
        <w:t>11.</w:t>
      </w:r>
      <w:r w:rsidR="002667A1" w:rsidRPr="00F139B0">
        <w:rPr>
          <w:rFonts w:ascii="Calibri" w:hAnsi="Calibri" w:cs="Calibri"/>
          <w:b/>
          <w:i/>
          <w:color w:val="2E74B5" w:themeColor="accent1" w:themeShade="BF"/>
          <w:sz w:val="22"/>
          <w:szCs w:val="22"/>
        </w:rPr>
        <w:t xml:space="preserve"> </w:t>
      </w:r>
      <w:r w:rsidRPr="00F139B0">
        <w:rPr>
          <w:rFonts w:ascii="Calibri" w:hAnsi="Calibri" w:cs="Calibri"/>
          <w:i/>
          <w:color w:val="2E74B5" w:themeColor="accent1" w:themeShade="BF"/>
          <w:sz w:val="22"/>
          <w:szCs w:val="22"/>
        </w:rPr>
        <w:t>Evidence that the applicant has a plan to staff, educate and manage the proposed medical marijuana establishment on a daily basis, which must include, without limitation:</w:t>
      </w:r>
    </w:p>
    <w:p w14:paraId="527CC006" w14:textId="31D53D11"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(a)</w:t>
      </w:r>
      <w:r w:rsidR="008C13D7">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 detailed budget for the proposed medical marijuana establishment, including pre-opening, construction and first year operating expenses;</w:t>
      </w:r>
    </w:p>
    <w:p w14:paraId="16DF91EE" w14:textId="47625F1A"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(b)</w:t>
      </w:r>
      <w:r w:rsidR="008C13D7">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An operations manual that demonstrates compliance with this chapter;</w:t>
      </w:r>
    </w:p>
    <w:p w14:paraId="19EE1E0C" w14:textId="7C1742F8"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(c)</w:t>
      </w:r>
      <w:r w:rsidR="008C13D7">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An education plan which must include, without limitation, providing educational materials to the staff of the proposed medical marijuana establishment; and</w:t>
      </w:r>
    </w:p>
    <w:p w14:paraId="5F0369E1" w14:textId="2BCDDC67"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(d)</w:t>
      </w:r>
      <w:r w:rsidR="008C13D7">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 plan to minimize the environmental impact of the proposed medical marijuana establishment.</w:t>
      </w:r>
    </w:p>
    <w:p w14:paraId="2101CD6F" w14:textId="6FFF2F7E" w:rsidR="004B6B56" w:rsidRPr="002F5BE6" w:rsidRDefault="008C13D7"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2F5BE6">
        <w:rPr>
          <w:rFonts w:ascii="Calibri" w:hAnsi="Calibri" w:cs="Calibri"/>
          <w:i/>
          <w:color w:val="FF0000"/>
          <w:sz w:val="22"/>
          <w:szCs w:val="22"/>
        </w:rPr>
        <w:t xml:space="preserve">(e) </w:t>
      </w:r>
      <w:r w:rsidR="004B6B56" w:rsidRPr="002F5BE6">
        <w:rPr>
          <w:rFonts w:ascii="Calibri" w:hAnsi="Calibri" w:cs="Calibri"/>
          <w:i/>
          <w:color w:val="FF0000"/>
          <w:sz w:val="22"/>
          <w:szCs w:val="22"/>
        </w:rPr>
        <w:t xml:space="preserve">At least one Certified Pesticide Applicator at each facility, certified by the Nevada Department of Agriculture pesticide program, in the Greenhouse Category for indoor/outdoor greenhouse marijuana cultivations and/or Agricultural Plant and/or Agricultural Animal Categories for outdoor marijuana cultivation depending on the type of cultivation facility. </w:t>
      </w:r>
      <w:r w:rsidR="004B6B56" w:rsidRPr="002F5BE6">
        <w:rPr>
          <w:rFonts w:ascii="Calibri" w:hAnsi="Calibri" w:cs="Calibri"/>
          <w:i/>
          <w:color w:val="2E74B5" w:themeColor="accent1" w:themeShade="BF"/>
          <w:sz w:val="22"/>
          <w:szCs w:val="22"/>
        </w:rPr>
        <w:tab/>
      </w:r>
    </w:p>
    <w:p w14:paraId="25508113" w14:textId="77777777"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p>
    <w:p w14:paraId="3F839F27" w14:textId="0CF3D408" w:rsidR="00784921" w:rsidRDefault="00784921" w:rsidP="002667A1">
      <w:pPr>
        <w:pStyle w:val="nacbody"/>
        <w:spacing w:before="0" w:beforeAutospacing="0" w:after="0" w:afterAutospacing="0" w:line="240" w:lineRule="atLeast"/>
        <w:ind w:left="720"/>
        <w:jc w:val="both"/>
        <w:rPr>
          <w:b/>
          <w:i/>
          <w:color w:val="2E74B5" w:themeColor="accent1" w:themeShade="BF"/>
          <w:sz w:val="22"/>
          <w:szCs w:val="22"/>
        </w:rPr>
      </w:pPr>
      <w:bookmarkStart w:id="0" w:name="NAC555Sec440"/>
      <w:bookmarkEnd w:id="0"/>
      <w:r w:rsidRPr="002F5BE6">
        <w:rPr>
          <w:b/>
          <w:i/>
          <w:color w:val="2E74B5" w:themeColor="accent1" w:themeShade="BF"/>
          <w:sz w:val="22"/>
          <w:szCs w:val="22"/>
        </w:rPr>
        <w:t>CHAPTER 555 - CONTROL OF INSECTS, PESTS AND NOXIOUS WEEDS</w:t>
      </w:r>
    </w:p>
    <w:p w14:paraId="05305512" w14:textId="77777777" w:rsidR="002F5BE6" w:rsidRPr="002F5BE6" w:rsidRDefault="002F5BE6" w:rsidP="002667A1">
      <w:pPr>
        <w:pStyle w:val="nacbody"/>
        <w:spacing w:before="0" w:beforeAutospacing="0" w:after="0" w:afterAutospacing="0" w:line="240" w:lineRule="atLeast"/>
        <w:ind w:left="720"/>
        <w:jc w:val="both"/>
        <w:rPr>
          <w:rStyle w:val="nacsection"/>
          <w:rFonts w:ascii="Calibri" w:hAnsi="Calibri" w:cs="Calibri"/>
          <w:b/>
          <w:bCs/>
          <w:i/>
          <w:color w:val="2E74B5" w:themeColor="accent1" w:themeShade="BF"/>
          <w:sz w:val="22"/>
          <w:szCs w:val="22"/>
        </w:rPr>
      </w:pPr>
    </w:p>
    <w:p w14:paraId="1C74797D" w14:textId="2A3C4A8A"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Style w:val="nacsection"/>
          <w:rFonts w:ascii="Calibri" w:hAnsi="Calibri" w:cs="Calibri"/>
          <w:b/>
          <w:bCs/>
          <w:i/>
          <w:color w:val="2E74B5" w:themeColor="accent1" w:themeShade="BF"/>
          <w:sz w:val="22"/>
          <w:szCs w:val="22"/>
        </w:rPr>
        <w:t>NAC</w:t>
      </w:r>
      <w:r w:rsidRPr="00F139B0">
        <w:rPr>
          <w:rStyle w:val="nacsection"/>
          <w:rFonts w:ascii="Calibri" w:hAnsi="Calibri" w:cs="Calibri"/>
          <w:b/>
          <w:bCs/>
          <w:i/>
          <w:color w:val="2E74B5" w:themeColor="accent1" w:themeShade="BF"/>
          <w:sz w:val="22"/>
          <w:szCs w:val="22"/>
        </w:rPr>
        <w:t> </w:t>
      </w:r>
      <w:r w:rsidRPr="00F139B0">
        <w:rPr>
          <w:rStyle w:val="nacsection"/>
          <w:rFonts w:ascii="Calibri" w:hAnsi="Calibri" w:cs="Calibri"/>
          <w:b/>
          <w:bCs/>
          <w:i/>
          <w:color w:val="2E74B5" w:themeColor="accent1" w:themeShade="BF"/>
          <w:sz w:val="22"/>
          <w:szCs w:val="22"/>
        </w:rPr>
        <w:t>555.440</w:t>
      </w:r>
      <w:r w:rsidRPr="00F139B0">
        <w:rPr>
          <w:rStyle w:val="empty"/>
          <w:rFonts w:ascii="Calibri" w:hAnsi="Calibri" w:cs="Calibri"/>
          <w:i/>
          <w:color w:val="2E74B5" w:themeColor="accent1" w:themeShade="BF"/>
          <w:sz w:val="22"/>
          <w:szCs w:val="22"/>
        </w:rPr>
        <w:t> </w:t>
      </w:r>
      <w:r w:rsidRPr="00F139B0">
        <w:rPr>
          <w:rStyle w:val="naclead"/>
          <w:rFonts w:ascii="Calibri" w:hAnsi="Calibri" w:cs="Calibri"/>
          <w:b/>
          <w:bCs/>
          <w:i/>
          <w:color w:val="2E74B5" w:themeColor="accent1" w:themeShade="BF"/>
          <w:sz w:val="22"/>
          <w:szCs w:val="22"/>
        </w:rPr>
        <w:t>Precautionary requirements.</w:t>
      </w:r>
      <w:r w:rsidRPr="00F139B0">
        <w:rPr>
          <w:rStyle w:val="apple-converted-space"/>
          <w:rFonts w:ascii="Calibri" w:hAnsi="Calibri" w:cs="Calibri"/>
          <w:b/>
          <w:bCs/>
          <w:i/>
          <w:color w:val="2E74B5" w:themeColor="accent1" w:themeShade="BF"/>
          <w:sz w:val="22"/>
          <w:szCs w:val="22"/>
        </w:rPr>
        <w:t> </w:t>
      </w:r>
      <w:r w:rsidRPr="00F139B0">
        <w:rPr>
          <w:rStyle w:val="nrsauthority"/>
          <w:rFonts w:ascii="Calibri" w:hAnsi="Calibri" w:cs="Calibri"/>
          <w:b/>
          <w:bCs/>
          <w:i/>
          <w:color w:val="2E74B5" w:themeColor="accent1" w:themeShade="BF"/>
          <w:sz w:val="22"/>
          <w:szCs w:val="22"/>
        </w:rPr>
        <w:t>(</w:t>
      </w:r>
      <w:hyperlink r:id="rId13" w:anchor="NRS555Sec380" w:history="1">
        <w:r w:rsidRPr="00F139B0">
          <w:rPr>
            <w:rStyle w:val="Hyperlink"/>
            <w:rFonts w:ascii="Calibri" w:hAnsi="Calibri" w:cs="Calibri"/>
            <w:i/>
            <w:color w:val="2E74B5" w:themeColor="accent1" w:themeShade="BF"/>
            <w:sz w:val="22"/>
            <w:szCs w:val="22"/>
          </w:rPr>
          <w:t>NRS 555.380</w:t>
        </w:r>
      </w:hyperlink>
      <w:r w:rsidRPr="00F139B0">
        <w:rPr>
          <w:rStyle w:val="nrsauthority"/>
          <w:rFonts w:ascii="Calibri" w:hAnsi="Calibri" w:cs="Calibri"/>
          <w:b/>
          <w:bCs/>
          <w:i/>
          <w:color w:val="2E74B5" w:themeColor="accent1" w:themeShade="BF"/>
          <w:sz w:val="22"/>
          <w:szCs w:val="22"/>
        </w:rPr>
        <w:t>,</w:t>
      </w:r>
      <w:r w:rsidRPr="00F139B0">
        <w:rPr>
          <w:rStyle w:val="apple-converted-space"/>
          <w:rFonts w:ascii="Calibri" w:hAnsi="Calibri" w:cs="Calibri"/>
          <w:b/>
          <w:bCs/>
          <w:i/>
          <w:color w:val="2E74B5" w:themeColor="accent1" w:themeShade="BF"/>
          <w:sz w:val="22"/>
          <w:szCs w:val="22"/>
        </w:rPr>
        <w:t> </w:t>
      </w:r>
      <w:hyperlink r:id="rId14" w:anchor="NRS555Sec400" w:history="1">
        <w:r w:rsidRPr="00F139B0">
          <w:rPr>
            <w:rStyle w:val="Hyperlink"/>
            <w:rFonts w:ascii="Calibri" w:hAnsi="Calibri" w:cs="Calibri"/>
            <w:i/>
            <w:color w:val="2E74B5" w:themeColor="accent1" w:themeShade="BF"/>
            <w:sz w:val="22"/>
            <w:szCs w:val="22"/>
          </w:rPr>
          <w:t>555.400</w:t>
        </w:r>
      </w:hyperlink>
      <w:r w:rsidRPr="00F139B0">
        <w:rPr>
          <w:rStyle w:val="nrsauthority"/>
          <w:rFonts w:ascii="Calibri" w:hAnsi="Calibri" w:cs="Calibri"/>
          <w:b/>
          <w:bCs/>
          <w:i/>
          <w:color w:val="2E74B5" w:themeColor="accent1" w:themeShade="BF"/>
          <w:sz w:val="22"/>
          <w:szCs w:val="22"/>
        </w:rPr>
        <w:t>)</w:t>
      </w:r>
    </w:p>
    <w:p w14:paraId="3B65841B" w14:textId="1CBAE197"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1.</w:t>
      </w:r>
      <w:r w:rsidR="00FA7D3B">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 licensee or certified applicator engaged in the application of pesticides shall exercise reasonable precautions to protect persons, animals, crops and property from harm or damage.</w:t>
      </w:r>
    </w:p>
    <w:p w14:paraId="4089D587" w14:textId="0EFFC8F1"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2.</w:t>
      </w:r>
      <w:r w:rsidR="00FA7D3B">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 xml:space="preserve">A pesticide or its empty container must not be disposed of or left unattended where it may present a hazard to any person, animal, crop or property, or be disposed of in a manner likely to </w:t>
      </w:r>
      <w:r w:rsidRPr="00F139B0">
        <w:rPr>
          <w:rFonts w:ascii="Calibri" w:hAnsi="Calibri" w:cs="Calibri"/>
          <w:i/>
          <w:color w:val="2E74B5" w:themeColor="accent1" w:themeShade="BF"/>
          <w:sz w:val="22"/>
          <w:szCs w:val="22"/>
        </w:rPr>
        <w:lastRenderedPageBreak/>
        <w:t>cause injury. A licensee or certified applicator shall ensure that all empty containers are removed from the operations work site or otherwise safeguarded.</w:t>
      </w:r>
    </w:p>
    <w:p w14:paraId="02D16E18" w14:textId="0533217F"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3.</w:t>
      </w:r>
      <w:r w:rsidR="00D84D2D" w:rsidRPr="00F139B0">
        <w:rPr>
          <w:rFonts w:ascii="Calibri" w:hAnsi="Calibri" w:cs="Calibri"/>
          <w:i/>
          <w:color w:val="2E74B5" w:themeColor="accent1" w:themeShade="BF"/>
          <w:sz w:val="22"/>
          <w:szCs w:val="22"/>
        </w:rPr>
        <w:t xml:space="preserve"> </w:t>
      </w:r>
      <w:bookmarkStart w:id="1" w:name="_GoBack"/>
      <w:bookmarkEnd w:id="1"/>
      <w:r w:rsidRPr="00F139B0">
        <w:rPr>
          <w:rFonts w:ascii="Calibri" w:hAnsi="Calibri" w:cs="Calibri"/>
          <w:i/>
          <w:color w:val="2E74B5" w:themeColor="accent1" w:themeShade="BF"/>
          <w:sz w:val="22"/>
          <w:szCs w:val="22"/>
        </w:rPr>
        <w:t>A licensee or certified applicator engaged in the application of pesticides shall:</w:t>
      </w:r>
    </w:p>
    <w:p w14:paraId="37793E39" w14:textId="1E577DAC"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(a)</w:t>
      </w:r>
      <w:r w:rsidR="00D84D2D" w:rsidRPr="00F139B0">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Provide his or her employees with the information, precautions and safety equipment required by the manufacturer of the pesticide or recommended by the Department; and</w:t>
      </w:r>
    </w:p>
    <w:p w14:paraId="4154F0B1" w14:textId="763D078C"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(b)</w:t>
      </w:r>
      <w:r w:rsidR="00D84D2D" w:rsidRPr="00F139B0">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Ensure that any safety equipment provided pursuant to paragraph (a) is in good working order.</w:t>
      </w:r>
    </w:p>
    <w:p w14:paraId="72A29AED" w14:textId="7036BC3B" w:rsidR="004B6B56" w:rsidRPr="00F139B0" w:rsidRDefault="004B6B56" w:rsidP="002667A1">
      <w:pPr>
        <w:pStyle w:val="nacbody"/>
        <w:spacing w:before="0" w:beforeAutospacing="0" w:after="0" w:afterAutospacing="0" w:line="240" w:lineRule="atLeast"/>
        <w:ind w:left="720"/>
        <w:jc w:val="both"/>
        <w:rPr>
          <w:rFonts w:ascii="Calibri" w:hAnsi="Calibri" w:cs="Calibri"/>
          <w:i/>
          <w:color w:val="2E74B5" w:themeColor="accent1" w:themeShade="BF"/>
          <w:sz w:val="22"/>
          <w:szCs w:val="22"/>
        </w:rPr>
      </w:pPr>
      <w:r w:rsidRPr="00F139B0">
        <w:rPr>
          <w:rFonts w:ascii="Calibri" w:hAnsi="Calibri" w:cs="Calibri"/>
          <w:i/>
          <w:color w:val="2E74B5" w:themeColor="accent1" w:themeShade="BF"/>
          <w:sz w:val="22"/>
          <w:szCs w:val="22"/>
        </w:rPr>
        <w:t>4.</w:t>
      </w:r>
      <w:r w:rsidR="00D84D2D" w:rsidRPr="00F139B0">
        <w:rPr>
          <w:rFonts w:ascii="Calibri" w:hAnsi="Calibri" w:cs="Calibri"/>
          <w:i/>
          <w:color w:val="2E74B5" w:themeColor="accent1" w:themeShade="BF"/>
          <w:sz w:val="22"/>
          <w:szCs w:val="22"/>
        </w:rPr>
        <w:t xml:space="preserve"> </w:t>
      </w:r>
      <w:r w:rsidRPr="00F139B0">
        <w:rPr>
          <w:rFonts w:ascii="Calibri" w:hAnsi="Calibri" w:cs="Calibri"/>
          <w:i/>
          <w:color w:val="2E74B5" w:themeColor="accent1" w:themeShade="BF"/>
          <w:sz w:val="22"/>
          <w:szCs w:val="22"/>
        </w:rPr>
        <w:t>A licensee or certified applicator engaged in the application of pesticides shall use materials, dosages, formulas, devices and methods of application and disposal only in accordance with the directions on the label of the pesticide or device registered by the Environmental Protection Agency, registered by the Department or in accordance with the Federal Insecticide, Fungicide, and Rodenticide Act, 7 U.S.C. §§ 136 et seq.</w:t>
      </w:r>
    </w:p>
    <w:p w14:paraId="631E7420" w14:textId="3F62CD9D" w:rsidR="004B6B56" w:rsidRPr="007D5E6C" w:rsidRDefault="004B6B56" w:rsidP="002667A1">
      <w:pPr>
        <w:pStyle w:val="nacbody"/>
        <w:spacing w:before="0" w:beforeAutospacing="0" w:after="0" w:afterAutospacing="0" w:line="240" w:lineRule="atLeast"/>
        <w:ind w:left="720"/>
        <w:jc w:val="both"/>
        <w:rPr>
          <w:rFonts w:ascii="Calibri" w:hAnsi="Calibri" w:cs="Calibri"/>
          <w:i/>
          <w:color w:val="0070C0"/>
          <w:sz w:val="22"/>
          <w:szCs w:val="22"/>
        </w:rPr>
      </w:pPr>
      <w:r w:rsidRPr="007D5E6C">
        <w:rPr>
          <w:rFonts w:ascii="Calibri" w:hAnsi="Calibri" w:cs="Calibri"/>
          <w:i/>
          <w:color w:val="0070C0"/>
          <w:sz w:val="22"/>
          <w:szCs w:val="22"/>
        </w:rPr>
        <w:t>5.</w:t>
      </w:r>
      <w:r w:rsidR="000E5A37" w:rsidRPr="007D5E6C">
        <w:rPr>
          <w:rFonts w:ascii="Calibri" w:hAnsi="Calibri" w:cs="Calibri"/>
          <w:i/>
          <w:color w:val="0070C0"/>
          <w:sz w:val="22"/>
          <w:szCs w:val="22"/>
        </w:rPr>
        <w:t xml:space="preserve"> </w:t>
      </w:r>
      <w:r w:rsidRPr="007D5E6C">
        <w:rPr>
          <w:rFonts w:ascii="Calibri" w:hAnsi="Calibri" w:cs="Calibri"/>
          <w:i/>
          <w:color w:val="0070C0"/>
          <w:sz w:val="22"/>
          <w:szCs w:val="22"/>
        </w:rPr>
        <w:t>A licensee who performs a preconstruction treatment to the soil using a liquid termiticide shall use, unless otherwise authorized by the Director:</w:t>
      </w:r>
    </w:p>
    <w:p w14:paraId="2259DD8C" w14:textId="060AB840" w:rsidR="004B6B56" w:rsidRPr="007D5E6C" w:rsidRDefault="004B6B56" w:rsidP="002667A1">
      <w:pPr>
        <w:pStyle w:val="nacbody"/>
        <w:spacing w:before="0" w:beforeAutospacing="0" w:after="0" w:afterAutospacing="0" w:line="240" w:lineRule="atLeast"/>
        <w:ind w:left="720"/>
        <w:jc w:val="both"/>
        <w:rPr>
          <w:rFonts w:ascii="Calibri" w:hAnsi="Calibri" w:cs="Calibri"/>
          <w:i/>
          <w:color w:val="0070C0"/>
          <w:sz w:val="22"/>
          <w:szCs w:val="22"/>
        </w:rPr>
      </w:pPr>
      <w:r w:rsidRPr="007D5E6C">
        <w:rPr>
          <w:rFonts w:ascii="Calibri" w:hAnsi="Calibri" w:cs="Calibri"/>
          <w:i/>
          <w:color w:val="0070C0"/>
          <w:sz w:val="22"/>
          <w:szCs w:val="22"/>
        </w:rPr>
        <w:t>(a)</w:t>
      </w:r>
      <w:r w:rsidRPr="007D5E6C">
        <w:rPr>
          <w:rFonts w:ascii="Calibri" w:hAnsi="Calibri" w:cs="Calibri"/>
          <w:i/>
          <w:color w:val="0070C0"/>
          <w:sz w:val="22"/>
          <w:szCs w:val="22"/>
        </w:rPr>
        <w:t> </w:t>
      </w:r>
      <w:r w:rsidRPr="007D5E6C">
        <w:rPr>
          <w:rFonts w:ascii="Calibri" w:hAnsi="Calibri" w:cs="Calibri"/>
          <w:i/>
          <w:color w:val="0070C0"/>
          <w:sz w:val="22"/>
          <w:szCs w:val="22"/>
        </w:rPr>
        <w:t>A flow metering device which is accurately calibrated to display the number of gallons of termiticide dispensed pursuant to</w:t>
      </w:r>
      <w:r w:rsidRPr="007D5E6C">
        <w:rPr>
          <w:rStyle w:val="apple-converted-space"/>
          <w:rFonts w:ascii="Calibri" w:hAnsi="Calibri" w:cs="Calibri"/>
          <w:i/>
          <w:color w:val="0070C0"/>
          <w:sz w:val="22"/>
          <w:szCs w:val="22"/>
        </w:rPr>
        <w:t> </w:t>
      </w:r>
      <w:hyperlink r:id="rId15" w:anchor="NAC555Sec410" w:history="1">
        <w:r w:rsidRPr="007D5E6C">
          <w:rPr>
            <w:rStyle w:val="Hyperlink"/>
            <w:rFonts w:ascii="Calibri" w:hAnsi="Calibri" w:cs="Calibri"/>
            <w:i/>
            <w:color w:val="0070C0"/>
            <w:sz w:val="22"/>
            <w:szCs w:val="22"/>
          </w:rPr>
          <w:t>NAC 555.410</w:t>
        </w:r>
      </w:hyperlink>
      <w:r w:rsidRPr="007D5E6C">
        <w:rPr>
          <w:rFonts w:ascii="Calibri" w:hAnsi="Calibri" w:cs="Calibri"/>
          <w:i/>
          <w:color w:val="0070C0"/>
          <w:sz w:val="22"/>
          <w:szCs w:val="22"/>
        </w:rPr>
        <w:t>,</w:t>
      </w:r>
      <w:r w:rsidRPr="007D5E6C">
        <w:rPr>
          <w:rStyle w:val="apple-converted-space"/>
          <w:rFonts w:ascii="Calibri" w:hAnsi="Calibri" w:cs="Calibri"/>
          <w:i/>
          <w:color w:val="0070C0"/>
          <w:sz w:val="22"/>
          <w:szCs w:val="22"/>
        </w:rPr>
        <w:t> </w:t>
      </w:r>
      <w:hyperlink r:id="rId16" w:anchor="NAC555Sec428" w:history="1">
        <w:r w:rsidRPr="007D5E6C">
          <w:rPr>
            <w:rStyle w:val="Hyperlink"/>
            <w:rFonts w:ascii="Calibri" w:hAnsi="Calibri" w:cs="Calibri"/>
            <w:i/>
            <w:color w:val="0070C0"/>
            <w:sz w:val="22"/>
            <w:szCs w:val="22"/>
          </w:rPr>
          <w:t>555.428</w:t>
        </w:r>
      </w:hyperlink>
      <w:r w:rsidRPr="007D5E6C">
        <w:rPr>
          <w:rStyle w:val="apple-converted-space"/>
          <w:rFonts w:ascii="Calibri" w:hAnsi="Calibri" w:cs="Calibri"/>
          <w:i/>
          <w:color w:val="0070C0"/>
          <w:sz w:val="22"/>
          <w:szCs w:val="22"/>
        </w:rPr>
        <w:t> </w:t>
      </w:r>
      <w:r w:rsidRPr="007D5E6C">
        <w:rPr>
          <w:rFonts w:ascii="Calibri" w:hAnsi="Calibri" w:cs="Calibri"/>
          <w:i/>
          <w:color w:val="0070C0"/>
          <w:sz w:val="22"/>
          <w:szCs w:val="22"/>
        </w:rPr>
        <w:t>and</w:t>
      </w:r>
      <w:r w:rsidRPr="007D5E6C">
        <w:rPr>
          <w:rStyle w:val="apple-converted-space"/>
          <w:rFonts w:ascii="Calibri" w:hAnsi="Calibri" w:cs="Calibri"/>
          <w:i/>
          <w:color w:val="0070C0"/>
          <w:sz w:val="22"/>
          <w:szCs w:val="22"/>
        </w:rPr>
        <w:t> </w:t>
      </w:r>
      <w:hyperlink r:id="rId17" w:anchor="NAC555Sec700" w:history="1">
        <w:r w:rsidRPr="007D5E6C">
          <w:rPr>
            <w:rStyle w:val="Hyperlink"/>
            <w:rFonts w:ascii="Calibri" w:hAnsi="Calibri" w:cs="Calibri"/>
            <w:i/>
            <w:color w:val="0070C0"/>
            <w:sz w:val="22"/>
            <w:szCs w:val="22"/>
          </w:rPr>
          <w:t>555.700</w:t>
        </w:r>
      </w:hyperlink>
      <w:r w:rsidRPr="007D5E6C">
        <w:rPr>
          <w:rFonts w:ascii="Calibri" w:hAnsi="Calibri" w:cs="Calibri"/>
          <w:i/>
          <w:color w:val="0070C0"/>
          <w:sz w:val="22"/>
          <w:szCs w:val="22"/>
        </w:rPr>
        <w:t>; or</w:t>
      </w:r>
    </w:p>
    <w:p w14:paraId="6C95093E" w14:textId="3007EBF2" w:rsidR="004B6B56" w:rsidRPr="007D5E6C" w:rsidRDefault="004B6B56" w:rsidP="002667A1">
      <w:pPr>
        <w:pStyle w:val="nacbody"/>
        <w:spacing w:before="0" w:beforeAutospacing="0" w:after="0" w:afterAutospacing="0" w:line="240" w:lineRule="atLeast"/>
        <w:ind w:left="720"/>
        <w:jc w:val="both"/>
        <w:rPr>
          <w:rFonts w:ascii="Calibri" w:hAnsi="Calibri" w:cs="Calibri"/>
          <w:i/>
          <w:color w:val="0070C0"/>
          <w:sz w:val="22"/>
          <w:szCs w:val="22"/>
        </w:rPr>
      </w:pPr>
      <w:r w:rsidRPr="007D5E6C">
        <w:rPr>
          <w:rFonts w:ascii="Calibri" w:hAnsi="Calibri" w:cs="Calibri"/>
          <w:i/>
          <w:color w:val="0070C0"/>
          <w:sz w:val="22"/>
          <w:szCs w:val="22"/>
        </w:rPr>
        <w:t>(b)</w:t>
      </w:r>
      <w:r w:rsidR="000E42B1" w:rsidRPr="007D5E6C">
        <w:rPr>
          <w:rFonts w:ascii="Calibri" w:hAnsi="Calibri" w:cs="Calibri"/>
          <w:i/>
          <w:color w:val="0070C0"/>
          <w:sz w:val="22"/>
          <w:szCs w:val="22"/>
        </w:rPr>
        <w:t xml:space="preserve"> </w:t>
      </w:r>
      <w:r w:rsidRPr="007D5E6C">
        <w:rPr>
          <w:rFonts w:ascii="Calibri" w:hAnsi="Calibri" w:cs="Calibri"/>
          <w:i/>
          <w:color w:val="0070C0"/>
          <w:sz w:val="22"/>
          <w:szCs w:val="22"/>
        </w:rPr>
        <w:t>A measuring device which is accurately calibrated by the equipment manufacturer to display the number of gallons of termiticide dispensed pursuant to</w:t>
      </w:r>
      <w:r w:rsidRPr="007D5E6C">
        <w:rPr>
          <w:rStyle w:val="apple-converted-space"/>
          <w:rFonts w:ascii="Calibri" w:hAnsi="Calibri" w:cs="Calibri"/>
          <w:i/>
          <w:color w:val="0070C0"/>
          <w:sz w:val="22"/>
          <w:szCs w:val="22"/>
        </w:rPr>
        <w:t> </w:t>
      </w:r>
      <w:hyperlink r:id="rId18" w:anchor="NAC555Sec410" w:history="1">
        <w:r w:rsidRPr="007D5E6C">
          <w:rPr>
            <w:rStyle w:val="Hyperlink"/>
            <w:rFonts w:ascii="Calibri" w:hAnsi="Calibri" w:cs="Calibri"/>
            <w:i/>
            <w:color w:val="0070C0"/>
            <w:sz w:val="22"/>
            <w:szCs w:val="22"/>
          </w:rPr>
          <w:t>NAC 555.410</w:t>
        </w:r>
      </w:hyperlink>
      <w:r w:rsidRPr="007D5E6C">
        <w:rPr>
          <w:rFonts w:ascii="Calibri" w:hAnsi="Calibri" w:cs="Calibri"/>
          <w:i/>
          <w:color w:val="0070C0"/>
          <w:sz w:val="22"/>
          <w:szCs w:val="22"/>
        </w:rPr>
        <w:t>,</w:t>
      </w:r>
      <w:r w:rsidRPr="007D5E6C">
        <w:rPr>
          <w:rStyle w:val="apple-converted-space"/>
          <w:rFonts w:ascii="Calibri" w:hAnsi="Calibri" w:cs="Calibri"/>
          <w:i/>
          <w:color w:val="0070C0"/>
          <w:sz w:val="22"/>
          <w:szCs w:val="22"/>
        </w:rPr>
        <w:t> </w:t>
      </w:r>
      <w:hyperlink r:id="rId19" w:anchor="NAC555Sec428" w:history="1">
        <w:r w:rsidRPr="007D5E6C">
          <w:rPr>
            <w:rStyle w:val="Hyperlink"/>
            <w:rFonts w:ascii="Calibri" w:hAnsi="Calibri" w:cs="Calibri"/>
            <w:i/>
            <w:color w:val="0070C0"/>
            <w:sz w:val="22"/>
            <w:szCs w:val="22"/>
          </w:rPr>
          <w:t>555.428</w:t>
        </w:r>
      </w:hyperlink>
      <w:r w:rsidRPr="007D5E6C">
        <w:rPr>
          <w:rStyle w:val="apple-converted-space"/>
          <w:rFonts w:ascii="Calibri" w:hAnsi="Calibri" w:cs="Calibri"/>
          <w:i/>
          <w:color w:val="0070C0"/>
          <w:sz w:val="22"/>
          <w:szCs w:val="22"/>
        </w:rPr>
        <w:t> </w:t>
      </w:r>
      <w:r w:rsidRPr="007D5E6C">
        <w:rPr>
          <w:rFonts w:ascii="Calibri" w:hAnsi="Calibri" w:cs="Calibri"/>
          <w:i/>
          <w:color w:val="0070C0"/>
          <w:sz w:val="22"/>
          <w:szCs w:val="22"/>
        </w:rPr>
        <w:t>and</w:t>
      </w:r>
      <w:r w:rsidRPr="007D5E6C">
        <w:rPr>
          <w:rStyle w:val="apple-converted-space"/>
          <w:rFonts w:ascii="Calibri" w:hAnsi="Calibri" w:cs="Calibri"/>
          <w:i/>
          <w:color w:val="0070C0"/>
          <w:sz w:val="22"/>
          <w:szCs w:val="22"/>
        </w:rPr>
        <w:t> </w:t>
      </w:r>
      <w:hyperlink r:id="rId20" w:anchor="NAC555Sec700" w:history="1">
        <w:r w:rsidRPr="007D5E6C">
          <w:rPr>
            <w:rStyle w:val="Hyperlink"/>
            <w:rFonts w:ascii="Calibri" w:hAnsi="Calibri" w:cs="Calibri"/>
            <w:i/>
            <w:color w:val="0070C0"/>
            <w:sz w:val="22"/>
            <w:szCs w:val="22"/>
          </w:rPr>
          <w:t>555.700</w:t>
        </w:r>
      </w:hyperlink>
      <w:r w:rsidRPr="007D5E6C">
        <w:rPr>
          <w:rFonts w:ascii="Calibri" w:hAnsi="Calibri" w:cs="Calibri"/>
          <w:i/>
          <w:color w:val="0070C0"/>
          <w:sz w:val="22"/>
          <w:szCs w:val="22"/>
        </w:rPr>
        <w:t>.</w:t>
      </w:r>
    </w:p>
    <w:p w14:paraId="6E62C578" w14:textId="2974AF16" w:rsidR="00E9081E" w:rsidRPr="007D5E6C" w:rsidRDefault="004B6B56" w:rsidP="005A73E4">
      <w:pPr>
        <w:pStyle w:val="nacsource"/>
        <w:spacing w:before="0" w:beforeAutospacing="0" w:after="240" w:afterAutospacing="0" w:line="240" w:lineRule="atLeast"/>
        <w:ind w:left="720"/>
        <w:jc w:val="both"/>
        <w:rPr>
          <w:rFonts w:ascii="Calibri" w:hAnsi="Calibri" w:cs="Calibri"/>
          <w:i/>
          <w:color w:val="0070C0"/>
          <w:sz w:val="22"/>
          <w:szCs w:val="22"/>
        </w:rPr>
      </w:pPr>
      <w:r w:rsidRPr="007D5E6C">
        <w:rPr>
          <w:rFonts w:ascii="Calibri" w:hAnsi="Calibri" w:cs="Calibri"/>
          <w:i/>
          <w:color w:val="0070C0"/>
          <w:sz w:val="22"/>
          <w:szCs w:val="22"/>
        </w:rPr>
        <w:t>[Dep’t of Agriculture, part No. 55.34, eff. 6-1-59; A 7-1-69; 5-22-72; + part No. 55.37, eff. 8-1-74; A 1-17-77] — (NAC A 2-5-82; R033-01, 5-1-2002; R062-10, 1-13-2011)</w:t>
      </w:r>
    </w:p>
    <w:p w14:paraId="1EC95596" w14:textId="507D653A" w:rsidR="00DD1A10" w:rsidRDefault="00CC30A8" w:rsidP="007A4A8C">
      <w:pPr>
        <w:pStyle w:val="ListParagraph"/>
        <w:numPr>
          <w:ilvl w:val="0"/>
          <w:numId w:val="1"/>
        </w:numPr>
        <w:spacing w:after="0"/>
        <w:rPr>
          <w:rFonts w:ascii="Calibri" w:hAnsi="Calibri" w:cs="Calibri"/>
          <w:color w:val="2E74B5" w:themeColor="accent1" w:themeShade="BF"/>
        </w:rPr>
      </w:pPr>
      <w:r w:rsidRPr="002E4AA4">
        <w:rPr>
          <w:rFonts w:ascii="Calibri" w:hAnsi="Calibri" w:cs="Calibri"/>
          <w:color w:val="2E74B5" w:themeColor="accent1" w:themeShade="BF"/>
        </w:rPr>
        <w:t xml:space="preserve">Additional information (cost of implementation, priority according to the recommendations, </w:t>
      </w:r>
      <w:r w:rsidR="00A936EC" w:rsidRPr="002E4AA4">
        <w:rPr>
          <w:rFonts w:ascii="Calibri" w:hAnsi="Calibri" w:cs="Calibri"/>
          <w:color w:val="2E74B5" w:themeColor="accent1" w:themeShade="BF"/>
        </w:rPr>
        <w:t>etc.</w:t>
      </w:r>
      <w:r w:rsidRPr="002E4AA4">
        <w:rPr>
          <w:rFonts w:ascii="Calibri" w:hAnsi="Calibri" w:cs="Calibri"/>
          <w:color w:val="2E74B5" w:themeColor="accent1" w:themeShade="BF"/>
        </w:rPr>
        <w:t>)</w:t>
      </w:r>
      <w:r w:rsidR="00B70E4E" w:rsidRPr="002E4AA4">
        <w:rPr>
          <w:rFonts w:ascii="Calibri" w:hAnsi="Calibri" w:cs="Calibri"/>
          <w:color w:val="2E74B5" w:themeColor="accent1" w:themeShade="BF"/>
        </w:rPr>
        <w:t>.</w:t>
      </w:r>
    </w:p>
    <w:p w14:paraId="36C3D123" w14:textId="77777777" w:rsidR="00FC1164" w:rsidRDefault="00FC1164" w:rsidP="00FC1164">
      <w:pPr>
        <w:spacing w:after="0"/>
        <w:rPr>
          <w:rFonts w:ascii="Calibri" w:hAnsi="Calibri" w:cs="Calibri"/>
          <w:color w:val="2E74B5" w:themeColor="accent1" w:themeShade="BF"/>
        </w:rPr>
      </w:pPr>
    </w:p>
    <w:p w14:paraId="325DF89A" w14:textId="2A3C53BF" w:rsidR="00FC1164" w:rsidRPr="007D5E6C" w:rsidRDefault="00FC1164" w:rsidP="00932C66">
      <w:pPr>
        <w:spacing w:after="0"/>
        <w:ind w:left="720"/>
        <w:rPr>
          <w:rFonts w:ascii="Calibri" w:hAnsi="Calibri" w:cs="Calibri"/>
          <w:i/>
          <w:color w:val="0070C0"/>
        </w:rPr>
      </w:pPr>
      <w:r w:rsidRPr="007D5E6C">
        <w:rPr>
          <w:rFonts w:ascii="Calibri" w:hAnsi="Calibri" w:cs="Calibri"/>
          <w:i/>
          <w:color w:val="0070C0"/>
        </w:rPr>
        <w:t>A consolidated budget for the services to be provided by the NDA has been submitted to the Department of Taxation.</w:t>
      </w:r>
    </w:p>
    <w:p w14:paraId="7DE9817F" w14:textId="77777777" w:rsidR="005E4230" w:rsidRPr="002E4AA4" w:rsidRDefault="005E4230" w:rsidP="005E4230">
      <w:pPr>
        <w:spacing w:after="0"/>
        <w:rPr>
          <w:rFonts w:ascii="Calibri" w:hAnsi="Calibri" w:cs="Calibri"/>
          <w:color w:val="2E74B5" w:themeColor="accent1" w:themeShade="BF"/>
        </w:rPr>
      </w:pPr>
    </w:p>
    <w:sectPr w:rsidR="005E4230" w:rsidRPr="002E4AA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0DB09" w14:textId="77777777" w:rsidR="00960391" w:rsidRDefault="00960391" w:rsidP="00391997">
      <w:pPr>
        <w:spacing w:after="0" w:line="240" w:lineRule="auto"/>
      </w:pPr>
      <w:r>
        <w:separator/>
      </w:r>
    </w:p>
  </w:endnote>
  <w:endnote w:type="continuationSeparator" w:id="0">
    <w:p w14:paraId="1D637D05" w14:textId="77777777" w:rsidR="00960391" w:rsidRDefault="00960391"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3C89095"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82AC6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3A5F28">
      <w:rPr>
        <w:rFonts w:ascii="Calibri" w:eastAsia="Times New Roman" w:hAnsi="Calibri" w:cs="Times New Roman"/>
        <w:b/>
        <w:i/>
        <w:color w:val="3737A5"/>
        <w:sz w:val="16"/>
        <w:szCs w:val="16"/>
      </w:rPr>
      <w:t>Pesticide Application and Worker Protection Standards</w:t>
    </w:r>
    <w:r w:rsidR="007D5E6C">
      <w:rPr>
        <w:rFonts w:ascii="Calibri" w:eastAsia="Times New Roman" w:hAnsi="Calibri" w:cs="Times New Roman"/>
        <w:b/>
        <w:i/>
        <w:color w:val="3737A5"/>
        <w:sz w:val="16"/>
        <w:szCs w:val="16"/>
      </w:rPr>
      <w:t xml:space="preserve"> v. 5 - Recommendation</w:t>
    </w:r>
    <w:r w:rsidRPr="00F43822">
      <w:rPr>
        <w:rFonts w:ascii="Calibri" w:eastAsia="Times New Roman" w:hAnsi="Calibri" w:cs="Times New Roman"/>
        <w:bCs/>
        <w:i/>
        <w:color w:val="3737A5"/>
        <w:sz w:val="16"/>
        <w:szCs w:val="16"/>
      </w:rPr>
      <w:tab/>
    </w:r>
    <w:r w:rsidR="003A5F28">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9B06E" w14:textId="77777777" w:rsidR="00960391" w:rsidRDefault="00960391" w:rsidP="00391997">
      <w:pPr>
        <w:spacing w:after="0" w:line="240" w:lineRule="auto"/>
      </w:pPr>
      <w:r>
        <w:separator/>
      </w:r>
    </w:p>
  </w:footnote>
  <w:footnote w:type="continuationSeparator" w:id="0">
    <w:p w14:paraId="7CCF5BCE" w14:textId="77777777" w:rsidR="00960391" w:rsidRDefault="00960391"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65EADD53" w:rsidR="00F43822" w:rsidRPr="00F43822" w:rsidRDefault="003A5F28" w:rsidP="008313F9">
    <w:pPr>
      <w:pStyle w:val="Heading2"/>
      <w:ind w:left="0"/>
      <w:jc w:val="center"/>
      <w:rPr>
        <w:sz w:val="22"/>
        <w:szCs w:val="22"/>
      </w:rPr>
    </w:pPr>
    <w:r>
      <w:rPr>
        <w:sz w:val="22"/>
        <w:szCs w:val="22"/>
      </w:rPr>
      <w:t>Pesticide Application and Worker Protection Standards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C31"/>
    <w:multiLevelType w:val="hybridMultilevel"/>
    <w:tmpl w:val="37F8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D26AA"/>
    <w:multiLevelType w:val="hybridMultilevel"/>
    <w:tmpl w:val="B888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E3596"/>
    <w:multiLevelType w:val="hybridMultilevel"/>
    <w:tmpl w:val="10340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336CF"/>
    <w:multiLevelType w:val="hybridMultilevel"/>
    <w:tmpl w:val="A04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51DE2"/>
    <w:rsid w:val="00060468"/>
    <w:rsid w:val="00081DBE"/>
    <w:rsid w:val="000A61D0"/>
    <w:rsid w:val="000B01A4"/>
    <w:rsid w:val="000E42B1"/>
    <w:rsid w:val="000E5A37"/>
    <w:rsid w:val="00114EF2"/>
    <w:rsid w:val="001866F9"/>
    <w:rsid w:val="00196158"/>
    <w:rsid w:val="001B0ADC"/>
    <w:rsid w:val="001B10FF"/>
    <w:rsid w:val="001D54F0"/>
    <w:rsid w:val="00202E4C"/>
    <w:rsid w:val="0023729A"/>
    <w:rsid w:val="00250973"/>
    <w:rsid w:val="002667A1"/>
    <w:rsid w:val="002A2329"/>
    <w:rsid w:val="002D271F"/>
    <w:rsid w:val="002E4AA4"/>
    <w:rsid w:val="002E62FD"/>
    <w:rsid w:val="002F5B96"/>
    <w:rsid w:val="002F5BE6"/>
    <w:rsid w:val="003110FB"/>
    <w:rsid w:val="00311848"/>
    <w:rsid w:val="00391997"/>
    <w:rsid w:val="003A5F28"/>
    <w:rsid w:val="003D371C"/>
    <w:rsid w:val="003E257A"/>
    <w:rsid w:val="004039AB"/>
    <w:rsid w:val="004128B0"/>
    <w:rsid w:val="00435662"/>
    <w:rsid w:val="00442A3F"/>
    <w:rsid w:val="00462786"/>
    <w:rsid w:val="004B6B56"/>
    <w:rsid w:val="004E482C"/>
    <w:rsid w:val="005043DB"/>
    <w:rsid w:val="005509F6"/>
    <w:rsid w:val="00554796"/>
    <w:rsid w:val="00565923"/>
    <w:rsid w:val="005803ED"/>
    <w:rsid w:val="00592887"/>
    <w:rsid w:val="005A73E4"/>
    <w:rsid w:val="005B3C6C"/>
    <w:rsid w:val="005E102D"/>
    <w:rsid w:val="005E4230"/>
    <w:rsid w:val="005F3F7E"/>
    <w:rsid w:val="00610DCA"/>
    <w:rsid w:val="00623820"/>
    <w:rsid w:val="006562B7"/>
    <w:rsid w:val="00670BDD"/>
    <w:rsid w:val="0067592A"/>
    <w:rsid w:val="006A2E92"/>
    <w:rsid w:val="006B0A7E"/>
    <w:rsid w:val="006C69D1"/>
    <w:rsid w:val="006D0501"/>
    <w:rsid w:val="006D4662"/>
    <w:rsid w:val="00700DCA"/>
    <w:rsid w:val="00753FA6"/>
    <w:rsid w:val="00755B09"/>
    <w:rsid w:val="007746E2"/>
    <w:rsid w:val="00774894"/>
    <w:rsid w:val="007765FD"/>
    <w:rsid w:val="00777932"/>
    <w:rsid w:val="00784921"/>
    <w:rsid w:val="00786840"/>
    <w:rsid w:val="0079300A"/>
    <w:rsid w:val="007A4A8C"/>
    <w:rsid w:val="007B1260"/>
    <w:rsid w:val="007D5E6C"/>
    <w:rsid w:val="007E5090"/>
    <w:rsid w:val="00822B37"/>
    <w:rsid w:val="00826089"/>
    <w:rsid w:val="008313F9"/>
    <w:rsid w:val="00854295"/>
    <w:rsid w:val="00882EE9"/>
    <w:rsid w:val="008C13D7"/>
    <w:rsid w:val="008D5094"/>
    <w:rsid w:val="008F0634"/>
    <w:rsid w:val="008F0885"/>
    <w:rsid w:val="009139D9"/>
    <w:rsid w:val="009201F4"/>
    <w:rsid w:val="009264B2"/>
    <w:rsid w:val="00932C66"/>
    <w:rsid w:val="00957E83"/>
    <w:rsid w:val="00960391"/>
    <w:rsid w:val="00961D8A"/>
    <w:rsid w:val="009805E6"/>
    <w:rsid w:val="00996A51"/>
    <w:rsid w:val="009D1938"/>
    <w:rsid w:val="009F522B"/>
    <w:rsid w:val="00A312E6"/>
    <w:rsid w:val="00A40F7A"/>
    <w:rsid w:val="00A65F54"/>
    <w:rsid w:val="00A72E9B"/>
    <w:rsid w:val="00A936EC"/>
    <w:rsid w:val="00AB11E7"/>
    <w:rsid w:val="00AB71F7"/>
    <w:rsid w:val="00B11C15"/>
    <w:rsid w:val="00B70E4E"/>
    <w:rsid w:val="00BC0B03"/>
    <w:rsid w:val="00BC0F10"/>
    <w:rsid w:val="00BD11E0"/>
    <w:rsid w:val="00BF6BBC"/>
    <w:rsid w:val="00C51AA1"/>
    <w:rsid w:val="00CC196E"/>
    <w:rsid w:val="00CC30A8"/>
    <w:rsid w:val="00CE734B"/>
    <w:rsid w:val="00CE7AD0"/>
    <w:rsid w:val="00D15932"/>
    <w:rsid w:val="00D22E65"/>
    <w:rsid w:val="00D6241D"/>
    <w:rsid w:val="00D81328"/>
    <w:rsid w:val="00D84D2D"/>
    <w:rsid w:val="00D8569D"/>
    <w:rsid w:val="00D926ED"/>
    <w:rsid w:val="00DA287B"/>
    <w:rsid w:val="00DC4C91"/>
    <w:rsid w:val="00DD1A10"/>
    <w:rsid w:val="00DE0ABD"/>
    <w:rsid w:val="00DE697A"/>
    <w:rsid w:val="00E00635"/>
    <w:rsid w:val="00E02DC5"/>
    <w:rsid w:val="00E41DFB"/>
    <w:rsid w:val="00E74D39"/>
    <w:rsid w:val="00E9081E"/>
    <w:rsid w:val="00E96CEA"/>
    <w:rsid w:val="00EA0A87"/>
    <w:rsid w:val="00EA782F"/>
    <w:rsid w:val="00EC03A5"/>
    <w:rsid w:val="00EF1453"/>
    <w:rsid w:val="00F046BC"/>
    <w:rsid w:val="00F139B0"/>
    <w:rsid w:val="00F27CF2"/>
    <w:rsid w:val="00F43822"/>
    <w:rsid w:val="00F944B2"/>
    <w:rsid w:val="00FA7232"/>
    <w:rsid w:val="00FA7D3B"/>
    <w:rsid w:val="00FC1164"/>
    <w:rsid w:val="00FC1FA5"/>
    <w:rsid w:val="00FC216D"/>
    <w:rsid w:val="00FF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2F5B96"/>
  </w:style>
  <w:style w:type="paragraph" w:styleId="NoSpacing">
    <w:name w:val="No Spacing"/>
    <w:uiPriority w:val="1"/>
    <w:qFormat/>
    <w:rsid w:val="00E00635"/>
    <w:pPr>
      <w:spacing w:after="0" w:line="240" w:lineRule="auto"/>
    </w:pPr>
  </w:style>
  <w:style w:type="paragraph" w:customStyle="1" w:styleId="nacbody">
    <w:name w:val="nacbody"/>
    <w:basedOn w:val="Normal"/>
    <w:rsid w:val="004B6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B6B56"/>
  </w:style>
  <w:style w:type="character" w:customStyle="1" w:styleId="empty">
    <w:name w:val="empty"/>
    <w:basedOn w:val="DefaultParagraphFont"/>
    <w:rsid w:val="004B6B56"/>
  </w:style>
  <w:style w:type="character" w:customStyle="1" w:styleId="naclead">
    <w:name w:val="naclead"/>
    <w:basedOn w:val="DefaultParagraphFont"/>
    <w:rsid w:val="004B6B56"/>
  </w:style>
  <w:style w:type="character" w:customStyle="1" w:styleId="nrsauthority">
    <w:name w:val="nrsauthority"/>
    <w:basedOn w:val="DefaultParagraphFont"/>
    <w:rsid w:val="004B6B56"/>
  </w:style>
  <w:style w:type="paragraph" w:customStyle="1" w:styleId="nacsource">
    <w:name w:val="nacsource"/>
    <w:basedOn w:val="Normal"/>
    <w:rsid w:val="004B6B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2F5B96"/>
  </w:style>
  <w:style w:type="paragraph" w:styleId="NoSpacing">
    <w:name w:val="No Spacing"/>
    <w:uiPriority w:val="1"/>
    <w:qFormat/>
    <w:rsid w:val="00E00635"/>
    <w:pPr>
      <w:spacing w:after="0" w:line="240" w:lineRule="auto"/>
    </w:pPr>
  </w:style>
  <w:style w:type="paragraph" w:customStyle="1" w:styleId="nacbody">
    <w:name w:val="nacbody"/>
    <w:basedOn w:val="Normal"/>
    <w:rsid w:val="004B6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B6B56"/>
  </w:style>
  <w:style w:type="character" w:customStyle="1" w:styleId="empty">
    <w:name w:val="empty"/>
    <w:basedOn w:val="DefaultParagraphFont"/>
    <w:rsid w:val="004B6B56"/>
  </w:style>
  <w:style w:type="character" w:customStyle="1" w:styleId="naclead">
    <w:name w:val="naclead"/>
    <w:basedOn w:val="DefaultParagraphFont"/>
    <w:rsid w:val="004B6B56"/>
  </w:style>
  <w:style w:type="character" w:customStyle="1" w:styleId="nrsauthority">
    <w:name w:val="nrsauthority"/>
    <w:basedOn w:val="DefaultParagraphFont"/>
    <w:rsid w:val="004B6B56"/>
  </w:style>
  <w:style w:type="paragraph" w:customStyle="1" w:styleId="nacsource">
    <w:name w:val="nacsource"/>
    <w:basedOn w:val="Normal"/>
    <w:rsid w:val="004B6B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5396">
      <w:bodyDiv w:val="1"/>
      <w:marLeft w:val="0"/>
      <w:marRight w:val="0"/>
      <w:marTop w:val="0"/>
      <w:marBottom w:val="0"/>
      <w:divBdr>
        <w:top w:val="none" w:sz="0" w:space="0" w:color="auto"/>
        <w:left w:val="none" w:sz="0" w:space="0" w:color="auto"/>
        <w:bottom w:val="none" w:sz="0" w:space="0" w:color="auto"/>
        <w:right w:val="none" w:sz="0" w:space="0" w:color="auto"/>
      </w:divBdr>
    </w:div>
    <w:div w:id="12852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nv.us/NRS/NRS-555.html" TargetMode="External"/><Relationship Id="rId18" Type="http://schemas.openxmlformats.org/officeDocument/2006/relationships/hyperlink" Target="http://www.leg.state.nv.us/nac/nac-555.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eg.state.nv.us/nac/nac-453a.html" TargetMode="External"/><Relationship Id="rId17" Type="http://schemas.openxmlformats.org/officeDocument/2006/relationships/hyperlink" Target="http://www.leg.state.nv.us/nac/nac-555.html" TargetMode="External"/><Relationship Id="rId2" Type="http://schemas.openxmlformats.org/officeDocument/2006/relationships/numbering" Target="numbering.xml"/><Relationship Id="rId16" Type="http://schemas.openxmlformats.org/officeDocument/2006/relationships/hyperlink" Target="http://www.leg.state.nv.us/nac/nac-555.html" TargetMode="External"/><Relationship Id="rId20" Type="http://schemas.openxmlformats.org/officeDocument/2006/relationships/hyperlink" Target="http://www.leg.state.nv.us/nac/nac-55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state.nv.us/NRS/NRS-453A.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state.nv.us/nac/nac-555.html" TargetMode="External"/><Relationship Id="rId23" Type="http://schemas.openxmlformats.org/officeDocument/2006/relationships/fontTable" Target="fontTable.xml"/><Relationship Id="rId10" Type="http://schemas.openxmlformats.org/officeDocument/2006/relationships/hyperlink" Target="http://www.leg.state.nv.us/NRS/NRS-453A.html" TargetMode="External"/><Relationship Id="rId19" Type="http://schemas.openxmlformats.org/officeDocument/2006/relationships/hyperlink" Target="http://www.leg.state.nv.us/nac/nac-555.html" TargetMode="External"/><Relationship Id="rId4" Type="http://schemas.microsoft.com/office/2007/relationships/stylesWithEffects" Target="stylesWithEffects.xml"/><Relationship Id="rId9" Type="http://schemas.openxmlformats.org/officeDocument/2006/relationships/hyperlink" Target="http://www.leg.state.nv.us/NRS/NRS-453A.html" TargetMode="External"/><Relationship Id="rId14" Type="http://schemas.openxmlformats.org/officeDocument/2006/relationships/hyperlink" Target="http://www.leg.state.nv.us/NRS/NRS-555.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09F0-30D7-4C84-A86D-9A02F0B0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2017-03-24T15:44:00Z</cp:lastPrinted>
  <dcterms:created xsi:type="dcterms:W3CDTF">2017-04-09T16:47:00Z</dcterms:created>
  <dcterms:modified xsi:type="dcterms:W3CDTF">2017-04-09T16:47:00Z</dcterms:modified>
</cp:coreProperties>
</file>